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D1A6C5" w14:textId="312C086A" w:rsidR="00CA36A3" w:rsidRPr="00F16B11" w:rsidRDefault="00CA36A3" w:rsidP="001D2599">
      <w:pPr>
        <w:spacing w:after="0" w:line="480" w:lineRule="auto"/>
        <w:jc w:val="both"/>
        <w:rPr>
          <w:rFonts w:ascii="Times New Roman" w:hAnsi="Times New Roman" w:cs="Times New Roman"/>
          <w:b/>
          <w:bCs/>
          <w:sz w:val="24"/>
          <w:szCs w:val="24"/>
        </w:rPr>
      </w:pPr>
      <w:r w:rsidRPr="00F16B11">
        <w:rPr>
          <w:rFonts w:ascii="Times New Roman" w:hAnsi="Times New Roman" w:cs="Times New Roman"/>
          <w:b/>
          <w:bCs/>
          <w:sz w:val="24"/>
          <w:szCs w:val="24"/>
        </w:rPr>
        <w:t>High- vs. Low-Dose Vitamin D3 in Severe Lupus on Pulse Methylprednisolone: A Randomized, Double-Blind, Placebo-Controlled Clinical Trial</w:t>
      </w:r>
    </w:p>
    <w:p w14:paraId="470FB780" w14:textId="77777777" w:rsidR="005961DC" w:rsidRPr="00AD6425" w:rsidRDefault="005961DC" w:rsidP="001D2599">
      <w:pPr>
        <w:spacing w:after="0" w:line="480" w:lineRule="auto"/>
        <w:jc w:val="both"/>
        <w:rPr>
          <w:rFonts w:ascii="Times New Roman" w:eastAsia="Times New Roman" w:hAnsi="Times New Roman" w:cs="Times New Roman"/>
          <w:color w:val="000000"/>
          <w:sz w:val="24"/>
          <w:szCs w:val="24"/>
        </w:rPr>
      </w:pPr>
    </w:p>
    <w:p w14:paraId="0CB69BC6" w14:textId="618F0716" w:rsidR="00B83901" w:rsidRPr="00F16B11" w:rsidRDefault="008D3E27" w:rsidP="001D2599">
      <w:pPr>
        <w:spacing w:after="0" w:line="480" w:lineRule="auto"/>
        <w:jc w:val="both"/>
        <w:rPr>
          <w:rFonts w:ascii="Times New Roman" w:eastAsia="Times New Roman" w:hAnsi="Times New Roman" w:cs="Times New Roman"/>
          <w:color w:val="000000"/>
          <w:sz w:val="24"/>
          <w:szCs w:val="24"/>
          <w:vertAlign w:val="superscript"/>
          <w:lang w:val="pt-BR"/>
        </w:rPr>
      </w:pPr>
      <w:r w:rsidRPr="00F16B11">
        <w:rPr>
          <w:rFonts w:ascii="Times New Roman" w:eastAsia="Times New Roman" w:hAnsi="Times New Roman" w:cs="Times New Roman"/>
          <w:color w:val="000000"/>
          <w:sz w:val="24"/>
          <w:szCs w:val="24"/>
          <w:lang w:val="pt-BR"/>
        </w:rPr>
        <w:t>Lisbeth A. Aguila</w:t>
      </w:r>
      <w:r w:rsidRPr="00F16B11">
        <w:rPr>
          <w:rFonts w:ascii="Times New Roman" w:eastAsia="Times New Roman" w:hAnsi="Times New Roman" w:cs="Times New Roman"/>
          <w:color w:val="000000"/>
          <w:sz w:val="24"/>
          <w:szCs w:val="24"/>
          <w:vertAlign w:val="superscript"/>
          <w:lang w:val="pt-BR"/>
        </w:rPr>
        <w:t>1</w:t>
      </w:r>
      <w:r w:rsidRPr="00F16B11">
        <w:rPr>
          <w:rFonts w:ascii="Times New Roman" w:eastAsia="Times New Roman" w:hAnsi="Times New Roman" w:cs="Times New Roman"/>
          <w:color w:val="000000"/>
          <w:sz w:val="24"/>
          <w:szCs w:val="24"/>
          <w:lang w:val="pt-BR"/>
        </w:rPr>
        <w:t xml:space="preserve">, </w:t>
      </w:r>
      <w:r w:rsidR="00642146" w:rsidRPr="00F16B11">
        <w:rPr>
          <w:rFonts w:ascii="Times New Roman" w:eastAsia="Times New Roman" w:hAnsi="Times New Roman" w:cs="Times New Roman"/>
          <w:color w:val="000000"/>
          <w:sz w:val="24"/>
          <w:szCs w:val="24"/>
          <w:lang w:val="pt-BR"/>
        </w:rPr>
        <w:t>Rosa M.R. Pereira</w:t>
      </w:r>
      <w:r w:rsidR="00642146" w:rsidRPr="00F16B11">
        <w:rPr>
          <w:rFonts w:ascii="Times New Roman" w:eastAsia="Times New Roman" w:hAnsi="Times New Roman" w:cs="Times New Roman"/>
          <w:color w:val="000000"/>
          <w:sz w:val="24"/>
          <w:szCs w:val="24"/>
          <w:vertAlign w:val="superscript"/>
          <w:lang w:val="pt-BR"/>
        </w:rPr>
        <w:t>1,2,3</w:t>
      </w:r>
      <w:r w:rsidR="00642146" w:rsidRPr="00F16B11">
        <w:rPr>
          <w:rFonts w:ascii="Times New Roman" w:eastAsia="Times New Roman" w:hAnsi="Times New Roman" w:cs="Times New Roman"/>
          <w:color w:val="000000"/>
          <w:sz w:val="24"/>
          <w:szCs w:val="24"/>
          <w:lang w:val="pt-BR"/>
        </w:rPr>
        <w:t xml:space="preserve">, </w:t>
      </w:r>
      <w:r w:rsidRPr="00F16B11">
        <w:rPr>
          <w:rFonts w:ascii="Times New Roman" w:eastAsia="Times New Roman" w:hAnsi="Times New Roman" w:cs="Times New Roman"/>
          <w:color w:val="000000"/>
          <w:sz w:val="24"/>
          <w:szCs w:val="24"/>
          <w:lang w:val="pt-BR"/>
        </w:rPr>
        <w:t>Luciana P. Seguro</w:t>
      </w:r>
      <w:r w:rsidRPr="00F16B11">
        <w:rPr>
          <w:rFonts w:ascii="Times New Roman" w:eastAsia="Times New Roman" w:hAnsi="Times New Roman" w:cs="Times New Roman"/>
          <w:color w:val="000000"/>
          <w:sz w:val="24"/>
          <w:szCs w:val="24"/>
          <w:vertAlign w:val="superscript"/>
          <w:lang w:val="pt-BR"/>
        </w:rPr>
        <w:t>1</w:t>
      </w:r>
      <w:r w:rsidRPr="00F16B11">
        <w:rPr>
          <w:rFonts w:ascii="Times New Roman" w:eastAsia="Times New Roman" w:hAnsi="Times New Roman" w:cs="Times New Roman"/>
          <w:color w:val="000000"/>
          <w:sz w:val="24"/>
          <w:szCs w:val="24"/>
          <w:lang w:val="pt-BR"/>
        </w:rPr>
        <w:t>,</w:t>
      </w:r>
      <w:r w:rsidRPr="00F16B11">
        <w:rPr>
          <w:rFonts w:ascii="Times New Roman" w:eastAsia="Times New Roman" w:hAnsi="Times New Roman" w:cs="Times New Roman"/>
          <w:color w:val="000000"/>
          <w:sz w:val="24"/>
          <w:szCs w:val="24"/>
          <w:vertAlign w:val="superscript"/>
          <w:lang w:val="pt-BR"/>
        </w:rPr>
        <w:t xml:space="preserve"> </w:t>
      </w:r>
      <w:r w:rsidRPr="00F16B11">
        <w:rPr>
          <w:rFonts w:ascii="Times New Roman" w:eastAsia="Times New Roman" w:hAnsi="Times New Roman" w:cs="Times New Roman"/>
          <w:color w:val="000000"/>
          <w:sz w:val="24"/>
          <w:szCs w:val="24"/>
          <w:lang w:val="pt-BR"/>
        </w:rPr>
        <w:t>Michelle R. Ugolini-Lopes</w:t>
      </w:r>
      <w:r w:rsidRPr="00F16B11">
        <w:rPr>
          <w:rFonts w:ascii="Times New Roman" w:eastAsia="Times New Roman" w:hAnsi="Times New Roman" w:cs="Times New Roman"/>
          <w:color w:val="000000"/>
          <w:sz w:val="24"/>
          <w:szCs w:val="24"/>
          <w:vertAlign w:val="superscript"/>
          <w:lang w:val="pt-BR"/>
        </w:rPr>
        <w:t>1</w:t>
      </w:r>
      <w:r w:rsidRPr="00F16B11">
        <w:rPr>
          <w:rFonts w:ascii="Times New Roman" w:eastAsia="Times New Roman" w:hAnsi="Times New Roman" w:cs="Times New Roman"/>
          <w:color w:val="000000"/>
          <w:sz w:val="24"/>
          <w:szCs w:val="24"/>
          <w:lang w:val="pt-BR"/>
        </w:rPr>
        <w:t>, Lissiane K.N. Guedes</w:t>
      </w:r>
      <w:r w:rsidRPr="00F16B11">
        <w:rPr>
          <w:rFonts w:ascii="Times New Roman" w:eastAsia="Times New Roman" w:hAnsi="Times New Roman" w:cs="Times New Roman"/>
          <w:color w:val="000000"/>
          <w:sz w:val="24"/>
          <w:szCs w:val="24"/>
          <w:vertAlign w:val="superscript"/>
          <w:lang w:val="pt-BR"/>
        </w:rPr>
        <w:t>1</w:t>
      </w:r>
      <w:r w:rsidRPr="00F16B11">
        <w:rPr>
          <w:rFonts w:ascii="Times New Roman" w:eastAsia="Times New Roman" w:hAnsi="Times New Roman" w:cs="Times New Roman"/>
          <w:color w:val="000000"/>
          <w:sz w:val="24"/>
          <w:szCs w:val="24"/>
          <w:lang w:val="pt-BR"/>
        </w:rPr>
        <w:t>, Felipe M. de Santana</w:t>
      </w:r>
      <w:r w:rsidRPr="00F16B11">
        <w:rPr>
          <w:rFonts w:ascii="Times New Roman" w:eastAsia="Times New Roman" w:hAnsi="Times New Roman" w:cs="Times New Roman"/>
          <w:color w:val="000000"/>
          <w:sz w:val="24"/>
          <w:szCs w:val="24"/>
          <w:vertAlign w:val="superscript"/>
          <w:lang w:val="pt-BR"/>
        </w:rPr>
        <w:t>1</w:t>
      </w:r>
      <w:r w:rsidRPr="00F16B11">
        <w:rPr>
          <w:rFonts w:ascii="Times New Roman" w:eastAsia="Times New Roman" w:hAnsi="Times New Roman" w:cs="Times New Roman"/>
          <w:color w:val="000000"/>
          <w:sz w:val="24"/>
          <w:szCs w:val="24"/>
          <w:lang w:val="pt-BR"/>
        </w:rPr>
        <w:t>, Valéria F. Caparbo</w:t>
      </w:r>
      <w:r w:rsidRPr="00F16B11">
        <w:rPr>
          <w:rFonts w:ascii="Times New Roman" w:eastAsia="Times New Roman" w:hAnsi="Times New Roman" w:cs="Times New Roman"/>
          <w:color w:val="000000"/>
          <w:sz w:val="24"/>
          <w:szCs w:val="24"/>
          <w:vertAlign w:val="superscript"/>
          <w:lang w:val="pt-BR"/>
        </w:rPr>
        <w:t>2</w:t>
      </w:r>
      <w:r w:rsidRPr="00F16B11">
        <w:rPr>
          <w:rFonts w:ascii="Times New Roman" w:eastAsia="Times New Roman" w:hAnsi="Times New Roman" w:cs="Times New Roman"/>
          <w:color w:val="000000"/>
          <w:sz w:val="24"/>
          <w:szCs w:val="24"/>
          <w:lang w:val="pt-BR"/>
        </w:rPr>
        <w:t>, Liliam Takayama</w:t>
      </w:r>
      <w:r w:rsidRPr="00F16B11">
        <w:rPr>
          <w:rFonts w:ascii="Times New Roman" w:eastAsia="Times New Roman" w:hAnsi="Times New Roman" w:cs="Times New Roman"/>
          <w:color w:val="000000"/>
          <w:sz w:val="24"/>
          <w:szCs w:val="24"/>
          <w:vertAlign w:val="superscript"/>
          <w:lang w:val="pt-BR"/>
        </w:rPr>
        <w:t>2</w:t>
      </w:r>
      <w:r w:rsidRPr="00F16B11">
        <w:rPr>
          <w:rFonts w:ascii="Times New Roman" w:eastAsia="Times New Roman" w:hAnsi="Times New Roman" w:cs="Times New Roman"/>
          <w:color w:val="000000"/>
          <w:sz w:val="24"/>
          <w:szCs w:val="24"/>
          <w:lang w:val="pt-BR"/>
        </w:rPr>
        <w:t>, Eduardo F. Borba</w:t>
      </w:r>
      <w:r w:rsidRPr="00F16B11">
        <w:rPr>
          <w:rFonts w:ascii="Times New Roman" w:eastAsia="Times New Roman" w:hAnsi="Times New Roman" w:cs="Times New Roman"/>
          <w:color w:val="000000"/>
          <w:sz w:val="24"/>
          <w:szCs w:val="24"/>
          <w:vertAlign w:val="superscript"/>
          <w:lang w:val="pt-BR"/>
        </w:rPr>
        <w:t>1</w:t>
      </w:r>
      <w:r w:rsidRPr="00F16B11">
        <w:rPr>
          <w:rFonts w:ascii="Times New Roman" w:eastAsia="Times New Roman" w:hAnsi="Times New Roman" w:cs="Times New Roman"/>
          <w:color w:val="000000"/>
          <w:sz w:val="24"/>
          <w:szCs w:val="24"/>
          <w:lang w:val="pt-BR"/>
        </w:rPr>
        <w:t>, Diogo S. Domiciano</w:t>
      </w:r>
      <w:r w:rsidRPr="00F16B11">
        <w:rPr>
          <w:rFonts w:ascii="Times New Roman" w:eastAsia="Times New Roman" w:hAnsi="Times New Roman" w:cs="Times New Roman"/>
          <w:color w:val="000000"/>
          <w:sz w:val="24"/>
          <w:szCs w:val="24"/>
          <w:vertAlign w:val="superscript"/>
          <w:lang w:val="pt-BR"/>
        </w:rPr>
        <w:t>1,2 *</w:t>
      </w:r>
    </w:p>
    <w:p w14:paraId="5482AC28" w14:textId="77777777" w:rsidR="00B83901" w:rsidRPr="00F16B11" w:rsidRDefault="00B83901" w:rsidP="001D2599">
      <w:pPr>
        <w:spacing w:after="0" w:line="480" w:lineRule="auto"/>
        <w:jc w:val="both"/>
        <w:rPr>
          <w:rFonts w:ascii="Times New Roman" w:eastAsia="Times New Roman" w:hAnsi="Times New Roman" w:cs="Times New Roman"/>
          <w:color w:val="000000"/>
          <w:sz w:val="24"/>
          <w:szCs w:val="24"/>
          <w:lang w:val="pt-BR"/>
        </w:rPr>
      </w:pPr>
    </w:p>
    <w:p w14:paraId="34136155" w14:textId="77777777" w:rsidR="00B83901" w:rsidRPr="00EC6CBB" w:rsidRDefault="008D3E27" w:rsidP="001D2599">
      <w:pPr>
        <w:spacing w:line="480" w:lineRule="auto"/>
        <w:jc w:val="both"/>
        <w:rPr>
          <w:rFonts w:ascii="Times New Roman" w:eastAsia="Times New Roman" w:hAnsi="Times New Roman" w:cs="Times New Roman"/>
          <w:color w:val="000000"/>
          <w:lang w:val="pt-BR"/>
        </w:rPr>
      </w:pPr>
      <w:r w:rsidRPr="00EC6CBB">
        <w:rPr>
          <w:rFonts w:ascii="Times New Roman" w:eastAsia="Times New Roman" w:hAnsi="Times New Roman" w:cs="Times New Roman"/>
          <w:color w:val="000000"/>
          <w:vertAlign w:val="superscript"/>
          <w:lang w:val="pt-BR"/>
        </w:rPr>
        <w:t xml:space="preserve">1 </w:t>
      </w:r>
      <w:r w:rsidRPr="00EC6CBB">
        <w:rPr>
          <w:rFonts w:ascii="Times New Roman" w:eastAsia="Times New Roman" w:hAnsi="Times New Roman" w:cs="Times New Roman"/>
          <w:color w:val="000000"/>
          <w:lang w:val="pt-BR"/>
        </w:rPr>
        <w:t>Rheumatology Division, Hospital das Clinicas HCFMUSP,</w:t>
      </w:r>
      <w:r w:rsidRPr="00EC6CBB">
        <w:rPr>
          <w:rFonts w:ascii="Times New Roman" w:eastAsia="Times New Roman" w:hAnsi="Times New Roman" w:cs="Times New Roman"/>
          <w:b/>
          <w:color w:val="000000"/>
          <w:lang w:val="pt-BR"/>
        </w:rPr>
        <w:t xml:space="preserve"> </w:t>
      </w:r>
      <w:r w:rsidRPr="00EC6CBB">
        <w:rPr>
          <w:rFonts w:ascii="Times New Roman" w:eastAsia="Times New Roman" w:hAnsi="Times New Roman" w:cs="Times New Roman"/>
          <w:color w:val="000000"/>
          <w:lang w:val="pt-BR"/>
        </w:rPr>
        <w:t xml:space="preserve">Faculdade de Medicina, Universidade de Sao Paulo, Sao Paulo, Brazil </w:t>
      </w:r>
    </w:p>
    <w:p w14:paraId="6689DBCF" w14:textId="7D5E1164" w:rsidR="00B83901" w:rsidRPr="00EC6CBB" w:rsidRDefault="00642146" w:rsidP="001D2599">
      <w:pPr>
        <w:spacing w:line="480" w:lineRule="auto"/>
        <w:jc w:val="both"/>
        <w:rPr>
          <w:rFonts w:ascii="Times New Roman" w:eastAsia="Times New Roman" w:hAnsi="Times New Roman" w:cs="Times New Roman"/>
          <w:color w:val="000000"/>
          <w:lang w:val="pt-BR"/>
        </w:rPr>
      </w:pPr>
      <w:r w:rsidRPr="00EC6CBB">
        <w:rPr>
          <w:rFonts w:ascii="Times New Roman" w:eastAsia="Times New Roman" w:hAnsi="Times New Roman" w:cs="Times New Roman"/>
          <w:i/>
          <w:color w:val="000000"/>
          <w:vertAlign w:val="superscript"/>
          <w:lang w:val="pt-BR"/>
        </w:rPr>
        <w:t xml:space="preserve">2 </w:t>
      </w:r>
      <w:r w:rsidR="008D3E27" w:rsidRPr="00EC6CBB">
        <w:rPr>
          <w:rFonts w:ascii="Times New Roman" w:eastAsia="Times New Roman" w:hAnsi="Times New Roman" w:cs="Times New Roman"/>
          <w:lang w:val="pt-BR"/>
        </w:rPr>
        <w:t xml:space="preserve">Bone Mineral Metabolism Laboratory, </w:t>
      </w:r>
      <w:r w:rsidR="008D3E27" w:rsidRPr="00EC6CBB">
        <w:rPr>
          <w:rFonts w:ascii="Times New Roman" w:eastAsia="Times New Roman" w:hAnsi="Times New Roman" w:cs="Times New Roman"/>
          <w:color w:val="000000"/>
          <w:lang w:val="pt-BR"/>
        </w:rPr>
        <w:t xml:space="preserve">Rheumatology Division, Faculdade de Medicina, Universidade de Sao Paulo, Sao Paulo, Brazil </w:t>
      </w:r>
    </w:p>
    <w:p w14:paraId="51C27D8C" w14:textId="77777777" w:rsidR="00B83901" w:rsidRPr="00EC6CBB" w:rsidRDefault="008D3E27" w:rsidP="001D2599">
      <w:pPr>
        <w:spacing w:line="480" w:lineRule="auto"/>
        <w:jc w:val="both"/>
        <w:rPr>
          <w:rFonts w:ascii="Times New Roman" w:eastAsia="Times New Roman" w:hAnsi="Times New Roman" w:cs="Times New Roman"/>
          <w:i/>
          <w:color w:val="000000"/>
        </w:rPr>
      </w:pPr>
      <w:r w:rsidRPr="00EC6CBB">
        <w:rPr>
          <w:rFonts w:ascii="Times New Roman" w:eastAsia="Times New Roman" w:hAnsi="Times New Roman" w:cs="Times New Roman"/>
          <w:color w:val="000000"/>
          <w:vertAlign w:val="superscript"/>
        </w:rPr>
        <w:t xml:space="preserve">3 </w:t>
      </w:r>
      <w:r w:rsidRPr="00EC6CBB">
        <w:rPr>
          <w:rFonts w:ascii="Times New Roman" w:eastAsia="Times New Roman" w:hAnsi="Times New Roman" w:cs="Times New Roman"/>
          <w:i/>
          <w:color w:val="000000"/>
        </w:rPr>
        <w:t>in memorian</w:t>
      </w:r>
    </w:p>
    <w:p w14:paraId="091FF419" w14:textId="5EFC9818" w:rsidR="00B83901" w:rsidRPr="00EC6CBB" w:rsidRDefault="00AF4123" w:rsidP="001D2599">
      <w:pPr>
        <w:spacing w:line="480" w:lineRule="auto"/>
        <w:jc w:val="both"/>
        <w:rPr>
          <w:rFonts w:ascii="Times New Roman" w:eastAsia="Times New Roman" w:hAnsi="Times New Roman" w:cs="Times New Roman"/>
          <w:i/>
          <w:color w:val="000000"/>
        </w:rPr>
      </w:pPr>
      <w:r w:rsidRPr="00EC6CBB">
        <w:rPr>
          <w:rFonts w:ascii="Times New Roman" w:hAnsi="Times New Roman" w:cs="Times New Roman"/>
          <w:color w:val="000000"/>
        </w:rPr>
        <w:t>Author</w:t>
      </w:r>
      <w:r w:rsidR="005C2F07" w:rsidRPr="00EC6CBB">
        <w:rPr>
          <w:rFonts w:ascii="Times New Roman" w:hAnsi="Times New Roman" w:cs="Times New Roman"/>
          <w:color w:val="000000"/>
        </w:rPr>
        <w:t>s</w:t>
      </w:r>
      <w:r w:rsidRPr="00EC6CBB">
        <w:rPr>
          <w:rFonts w:ascii="Times New Roman" w:hAnsi="Times New Roman" w:cs="Times New Roman"/>
          <w:color w:val="000000"/>
        </w:rPr>
        <w:t xml:space="preserve"> </w:t>
      </w:r>
      <w:r w:rsidRPr="00EC6CBB">
        <w:rPr>
          <w:rFonts w:ascii="Times New Roman" w:eastAsia="Times New Roman" w:hAnsi="Times New Roman" w:cs="Times New Roman"/>
          <w:color w:val="000000"/>
        </w:rPr>
        <w:t>Eduardo F. Borba</w:t>
      </w:r>
      <w:r w:rsidRPr="00EC6CBB">
        <w:rPr>
          <w:rFonts w:ascii="Times New Roman" w:hAnsi="Times New Roman" w:cs="Times New Roman"/>
          <w:color w:val="000000"/>
        </w:rPr>
        <w:t xml:space="preserve"> and </w:t>
      </w:r>
      <w:r w:rsidRPr="00EC6CBB">
        <w:rPr>
          <w:rFonts w:ascii="Times New Roman" w:eastAsia="Times New Roman" w:hAnsi="Times New Roman" w:cs="Times New Roman"/>
          <w:color w:val="000000"/>
        </w:rPr>
        <w:t>Diogo S. Domiciano</w:t>
      </w:r>
      <w:r w:rsidRPr="00EC6CBB">
        <w:rPr>
          <w:rFonts w:ascii="Times New Roman" w:hAnsi="Times New Roman" w:cs="Times New Roman"/>
          <w:color w:val="000000"/>
        </w:rPr>
        <w:t xml:space="preserve"> contributed equally to this study.</w:t>
      </w:r>
    </w:p>
    <w:p w14:paraId="4A314732" w14:textId="6F6932E8" w:rsidR="00B83901" w:rsidRPr="00F16B11" w:rsidRDefault="008D3E27" w:rsidP="001D2599">
      <w:pPr>
        <w:spacing w:before="240" w:after="240" w:line="240" w:lineRule="auto"/>
        <w:jc w:val="both"/>
        <w:rPr>
          <w:rFonts w:ascii="Times New Roman" w:eastAsia="Times New Roman" w:hAnsi="Times New Roman" w:cs="Times New Roman"/>
          <w:b/>
          <w:color w:val="000000"/>
          <w:sz w:val="24"/>
          <w:szCs w:val="24"/>
          <w:lang w:val="pt-BR"/>
        </w:rPr>
      </w:pPr>
      <w:r w:rsidRPr="00F16B11">
        <w:rPr>
          <w:rFonts w:ascii="Times New Roman" w:eastAsia="Times New Roman" w:hAnsi="Times New Roman" w:cs="Times New Roman"/>
          <w:b/>
          <w:color w:val="000000"/>
          <w:sz w:val="24"/>
          <w:szCs w:val="24"/>
          <w:lang w:val="pt-BR"/>
        </w:rPr>
        <w:t>*Corresponding author:</w:t>
      </w:r>
    </w:p>
    <w:p w14:paraId="5F851D4F" w14:textId="77777777" w:rsidR="00B83901" w:rsidRPr="00F16B11" w:rsidRDefault="008D3E27" w:rsidP="001D2599">
      <w:pPr>
        <w:spacing w:before="240" w:after="240" w:line="240" w:lineRule="auto"/>
        <w:jc w:val="both"/>
        <w:rPr>
          <w:rFonts w:ascii="Times New Roman" w:eastAsia="Times New Roman" w:hAnsi="Times New Roman" w:cs="Times New Roman"/>
          <w:color w:val="000000"/>
          <w:sz w:val="24"/>
          <w:szCs w:val="24"/>
          <w:lang w:val="pt-BR"/>
        </w:rPr>
      </w:pPr>
      <w:r w:rsidRPr="00F16B11">
        <w:rPr>
          <w:rFonts w:ascii="Times New Roman" w:eastAsia="Times New Roman" w:hAnsi="Times New Roman" w:cs="Times New Roman"/>
          <w:color w:val="000000"/>
          <w:sz w:val="24"/>
          <w:szCs w:val="24"/>
          <w:lang w:val="pt-BR"/>
        </w:rPr>
        <w:t>Dr. Diogo Souza Domiciano, MD, PhD</w:t>
      </w:r>
    </w:p>
    <w:p w14:paraId="10C238DE" w14:textId="77777777" w:rsidR="00B83901" w:rsidRPr="00F16B11" w:rsidRDefault="008D3E27" w:rsidP="001D2599">
      <w:pPr>
        <w:spacing w:before="240" w:after="240" w:line="240" w:lineRule="auto"/>
        <w:jc w:val="both"/>
        <w:rPr>
          <w:rFonts w:ascii="Times New Roman" w:eastAsia="Times New Roman" w:hAnsi="Times New Roman" w:cs="Times New Roman"/>
          <w:color w:val="000000"/>
          <w:sz w:val="24"/>
          <w:szCs w:val="24"/>
          <w:lang w:val="pt-BR"/>
        </w:rPr>
      </w:pPr>
      <w:r w:rsidRPr="00F16B11">
        <w:rPr>
          <w:rFonts w:ascii="Times New Roman" w:eastAsia="Times New Roman" w:hAnsi="Times New Roman" w:cs="Times New Roman"/>
          <w:color w:val="000000"/>
          <w:sz w:val="24"/>
          <w:szCs w:val="24"/>
          <w:lang w:val="pt-BR"/>
        </w:rPr>
        <w:t xml:space="preserve">Faculdade de Medicina FMUSP, Universidade de São Paulo, Av Dr Arnaldo, 455 – Reumatologia, 3o andar, sala 3193, Cerqueira César, São Paulo, Brasil. </w:t>
      </w:r>
    </w:p>
    <w:p w14:paraId="224AE336" w14:textId="5FB2E30C" w:rsidR="00B83901" w:rsidRPr="00F16B11" w:rsidRDefault="008D3E27" w:rsidP="001D2599">
      <w:pPr>
        <w:spacing w:before="240" w:after="240" w:line="240" w:lineRule="auto"/>
        <w:jc w:val="both"/>
        <w:rPr>
          <w:rFonts w:ascii="Times New Roman" w:eastAsia="Times New Roman" w:hAnsi="Times New Roman" w:cs="Times New Roman"/>
          <w:color w:val="000000"/>
          <w:sz w:val="24"/>
          <w:szCs w:val="24"/>
          <w:lang w:val="fr-FR"/>
        </w:rPr>
      </w:pPr>
      <w:r w:rsidRPr="00F16B11">
        <w:rPr>
          <w:rFonts w:ascii="Times New Roman" w:eastAsia="Times New Roman" w:hAnsi="Times New Roman" w:cs="Times New Roman"/>
          <w:color w:val="000000"/>
          <w:sz w:val="24"/>
          <w:szCs w:val="24"/>
          <w:lang w:val="fr-FR"/>
        </w:rPr>
        <w:t>Zip code: 01246-903.</w:t>
      </w:r>
      <w:r w:rsidR="00F43949">
        <w:rPr>
          <w:rFonts w:ascii="Times New Roman" w:eastAsia="Times New Roman" w:hAnsi="Times New Roman" w:cs="Times New Roman"/>
          <w:color w:val="000000"/>
          <w:sz w:val="24"/>
          <w:szCs w:val="24"/>
          <w:lang w:val="fr-FR"/>
        </w:rPr>
        <w:t xml:space="preserve">  </w:t>
      </w:r>
      <w:r w:rsidRPr="00F16B11">
        <w:rPr>
          <w:rFonts w:ascii="Times New Roman" w:eastAsia="Times New Roman" w:hAnsi="Times New Roman" w:cs="Times New Roman"/>
          <w:color w:val="000000"/>
          <w:sz w:val="24"/>
          <w:szCs w:val="24"/>
          <w:lang w:val="fr-FR"/>
        </w:rPr>
        <w:t>Phone: +55-11-3061-7490</w:t>
      </w:r>
    </w:p>
    <w:p w14:paraId="2DFB5979" w14:textId="75604D58" w:rsidR="00B83901" w:rsidRPr="00AD6425" w:rsidRDefault="008D3E27" w:rsidP="001D2599">
      <w:pPr>
        <w:spacing w:before="240" w:after="240" w:line="240" w:lineRule="auto"/>
        <w:jc w:val="both"/>
        <w:rPr>
          <w:rFonts w:ascii="Times New Roman" w:eastAsia="Times New Roman" w:hAnsi="Times New Roman" w:cs="Times New Roman"/>
          <w:color w:val="000000"/>
          <w:sz w:val="24"/>
          <w:szCs w:val="24"/>
          <w:lang w:val="fr-FR"/>
        </w:rPr>
      </w:pPr>
      <w:r w:rsidRPr="00AD6425">
        <w:rPr>
          <w:rFonts w:ascii="Times New Roman" w:eastAsia="Times New Roman" w:hAnsi="Times New Roman" w:cs="Times New Roman"/>
          <w:color w:val="000000"/>
          <w:sz w:val="24"/>
          <w:szCs w:val="24"/>
          <w:lang w:val="fr-FR"/>
        </w:rPr>
        <w:t xml:space="preserve">e-mail: </w:t>
      </w:r>
      <w:hyperlink r:id="rId8" w:history="1">
        <w:r w:rsidR="00AD4CA1" w:rsidRPr="00AD6425">
          <w:rPr>
            <w:rStyle w:val="Hyperlink"/>
            <w:rFonts w:ascii="Times New Roman" w:eastAsia="Times New Roman" w:hAnsi="Times New Roman" w:cs="Times New Roman"/>
            <w:sz w:val="24"/>
            <w:szCs w:val="24"/>
            <w:lang w:val="fr-FR"/>
          </w:rPr>
          <w:t>dsdomiciano@hotmail.com</w:t>
        </w:r>
      </w:hyperlink>
    </w:p>
    <w:p w14:paraId="4BBD0450" w14:textId="02272709" w:rsidR="00676479" w:rsidRDefault="00676479" w:rsidP="001D2599">
      <w:pPr>
        <w:spacing w:before="240" w:after="240" w:line="240" w:lineRule="auto"/>
        <w:jc w:val="both"/>
        <w:rPr>
          <w:rFonts w:ascii="Times New Roman" w:eastAsia="Times New Roman" w:hAnsi="Times New Roman" w:cs="Times New Roman"/>
          <w:color w:val="000000"/>
          <w:sz w:val="24"/>
          <w:szCs w:val="24"/>
        </w:rPr>
      </w:pPr>
      <w:r w:rsidRPr="00F16B11">
        <w:rPr>
          <w:rFonts w:ascii="Times New Roman" w:eastAsia="Times New Roman" w:hAnsi="Times New Roman" w:cs="Times New Roman"/>
          <w:color w:val="000000"/>
          <w:sz w:val="24"/>
          <w:szCs w:val="24"/>
        </w:rPr>
        <w:t xml:space="preserve">ORCID: </w:t>
      </w:r>
      <w:r w:rsidR="00F04EE1" w:rsidRPr="00F16B11">
        <w:rPr>
          <w:rFonts w:ascii="Times New Roman" w:eastAsia="Times New Roman" w:hAnsi="Times New Roman" w:cs="Times New Roman"/>
          <w:color w:val="000000"/>
          <w:sz w:val="24"/>
          <w:szCs w:val="24"/>
        </w:rPr>
        <w:t>0000-0001-7991-0231</w:t>
      </w:r>
    </w:p>
    <w:p w14:paraId="618A48CD" w14:textId="77777777" w:rsidR="00F43949" w:rsidRPr="00F16B11" w:rsidRDefault="00F43949" w:rsidP="001D2599">
      <w:pPr>
        <w:spacing w:before="240" w:after="240" w:line="240" w:lineRule="auto"/>
        <w:jc w:val="both"/>
        <w:rPr>
          <w:rFonts w:ascii="Times New Roman" w:eastAsia="Times New Roman" w:hAnsi="Times New Roman" w:cs="Times New Roman"/>
          <w:color w:val="000000"/>
          <w:sz w:val="24"/>
          <w:szCs w:val="24"/>
        </w:rPr>
      </w:pPr>
    </w:p>
    <w:p w14:paraId="7F4FD9BF" w14:textId="7DD8AFD9" w:rsidR="00EC6CBB" w:rsidRPr="00F16B11" w:rsidRDefault="00EC6CBB" w:rsidP="001D2599">
      <w:pPr>
        <w:spacing w:before="240" w:after="240" w:line="276" w:lineRule="auto"/>
        <w:jc w:val="both"/>
        <w:rPr>
          <w:rFonts w:ascii="Times New Roman" w:eastAsia="Times New Roman" w:hAnsi="Times New Roman" w:cs="Times New Roman"/>
          <w:b/>
          <w:sz w:val="24"/>
          <w:szCs w:val="24"/>
        </w:rPr>
      </w:pPr>
      <w:r w:rsidRPr="00F16B11">
        <w:rPr>
          <w:rFonts w:ascii="Times New Roman" w:eastAsia="Times New Roman" w:hAnsi="Times New Roman" w:cs="Times New Roman"/>
          <w:sz w:val="24"/>
          <w:szCs w:val="24"/>
        </w:rPr>
        <w:t xml:space="preserve"> </w:t>
      </w:r>
      <w:r w:rsidRPr="00F16B11">
        <w:rPr>
          <w:rFonts w:ascii="Times New Roman" w:eastAsia="Times New Roman" w:hAnsi="Times New Roman" w:cs="Times New Roman"/>
          <w:b/>
          <w:sz w:val="24"/>
          <w:szCs w:val="24"/>
        </w:rPr>
        <w:t>Funding</w:t>
      </w:r>
    </w:p>
    <w:p w14:paraId="356182FA" w14:textId="77777777" w:rsidR="00EC6CBB" w:rsidRDefault="00EC6CBB" w:rsidP="001D2599">
      <w:pPr>
        <w:spacing w:before="240" w:after="240" w:line="276" w:lineRule="auto"/>
        <w:jc w:val="both"/>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This research did not receive any specific grant from funding agencies in the public, commercial, or not-for-profit sectors.</w:t>
      </w:r>
    </w:p>
    <w:p w14:paraId="78EA7DC5" w14:textId="77777777" w:rsidR="00EC6CBB" w:rsidRPr="00F16B11" w:rsidRDefault="00EC6CBB" w:rsidP="001D2599">
      <w:pPr>
        <w:spacing w:before="240" w:after="240" w:line="276" w:lineRule="auto"/>
        <w:jc w:val="both"/>
        <w:rPr>
          <w:rFonts w:ascii="Times New Roman" w:eastAsia="Times New Roman" w:hAnsi="Times New Roman" w:cs="Times New Roman"/>
          <w:b/>
          <w:sz w:val="24"/>
          <w:szCs w:val="24"/>
        </w:rPr>
      </w:pPr>
      <w:r w:rsidRPr="00F16B11">
        <w:rPr>
          <w:rFonts w:ascii="Times New Roman" w:eastAsia="Times New Roman" w:hAnsi="Times New Roman" w:cs="Times New Roman"/>
          <w:sz w:val="24"/>
          <w:szCs w:val="24"/>
        </w:rPr>
        <w:t xml:space="preserve"> </w:t>
      </w:r>
      <w:r w:rsidRPr="00F16B11">
        <w:rPr>
          <w:rFonts w:ascii="Times New Roman" w:eastAsia="Times New Roman" w:hAnsi="Times New Roman" w:cs="Times New Roman"/>
          <w:b/>
          <w:sz w:val="24"/>
          <w:szCs w:val="24"/>
        </w:rPr>
        <w:t>Declaration of competing interest</w:t>
      </w:r>
    </w:p>
    <w:p w14:paraId="56E7DD4F" w14:textId="77777777" w:rsidR="00EC6CBB" w:rsidRPr="00F16B11" w:rsidRDefault="00EC6CBB" w:rsidP="00F43949">
      <w:pPr>
        <w:spacing w:before="240" w:after="240" w:line="276" w:lineRule="auto"/>
        <w:jc w:val="both"/>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The authors declare that they have no competing interest.</w:t>
      </w:r>
    </w:p>
    <w:p w14:paraId="26820555" w14:textId="43D69524" w:rsidR="00B83901" w:rsidRPr="00F16B11" w:rsidRDefault="008D3E27" w:rsidP="00F16B11">
      <w:pPr>
        <w:spacing w:line="480" w:lineRule="auto"/>
        <w:jc w:val="both"/>
        <w:rPr>
          <w:rFonts w:ascii="Times New Roman" w:eastAsia="Times New Roman" w:hAnsi="Times New Roman" w:cs="Times New Roman"/>
          <w:b/>
          <w:color w:val="000000"/>
          <w:sz w:val="24"/>
          <w:szCs w:val="24"/>
        </w:rPr>
      </w:pPr>
      <w:r w:rsidRPr="00F16B11">
        <w:rPr>
          <w:rFonts w:ascii="Times New Roman" w:eastAsia="Times New Roman" w:hAnsi="Times New Roman" w:cs="Times New Roman"/>
          <w:b/>
          <w:color w:val="000000"/>
          <w:sz w:val="24"/>
          <w:szCs w:val="24"/>
        </w:rPr>
        <w:lastRenderedPageBreak/>
        <w:t xml:space="preserve">Abstract </w:t>
      </w:r>
    </w:p>
    <w:p w14:paraId="6513676B" w14:textId="64323610" w:rsidR="00B83901" w:rsidRPr="00F16B11" w:rsidRDefault="006D4ED2" w:rsidP="00F16B11">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bookmarkStart w:id="0" w:name="_heading=h.gjdgxs" w:colFirst="0" w:colLast="0"/>
      <w:bookmarkEnd w:id="0"/>
      <w:r w:rsidRPr="00F16B11">
        <w:rPr>
          <w:rFonts w:ascii="Times New Roman" w:eastAsia="Times New Roman" w:hAnsi="Times New Roman" w:cs="Times New Roman"/>
          <w:i/>
          <w:color w:val="000000"/>
          <w:sz w:val="24"/>
          <w:szCs w:val="24"/>
        </w:rPr>
        <w:t>Objective</w:t>
      </w:r>
      <w:r w:rsidR="008D3E27" w:rsidRPr="00F16B11">
        <w:rPr>
          <w:rFonts w:ascii="Times New Roman" w:eastAsia="Times New Roman" w:hAnsi="Times New Roman" w:cs="Times New Roman"/>
          <w:i/>
          <w:color w:val="000000"/>
          <w:sz w:val="24"/>
          <w:szCs w:val="24"/>
        </w:rPr>
        <w:t xml:space="preserve">: </w:t>
      </w:r>
      <w:r w:rsidR="008D3E27" w:rsidRPr="00F16B11">
        <w:rPr>
          <w:rFonts w:ascii="Times New Roman" w:eastAsia="Times New Roman" w:hAnsi="Times New Roman" w:cs="Times New Roman"/>
          <w:color w:val="000000"/>
          <w:sz w:val="24"/>
          <w:szCs w:val="24"/>
        </w:rPr>
        <w:t>To evaluate the effects of high-dose versus routine-dose vitamin D3 in s</w:t>
      </w:r>
      <w:r w:rsidR="008D3E27" w:rsidRPr="00F16B11">
        <w:rPr>
          <w:rFonts w:ascii="Times New Roman" w:eastAsia="Times New Roman" w:hAnsi="Times New Roman" w:cs="Times New Roman"/>
          <w:sz w:val="24"/>
          <w:szCs w:val="24"/>
        </w:rPr>
        <w:t xml:space="preserve">ystemic lupus erythematosus </w:t>
      </w:r>
      <w:r w:rsidR="008D3E27" w:rsidRPr="00F16B11">
        <w:rPr>
          <w:rFonts w:ascii="Times New Roman" w:eastAsia="Times New Roman" w:hAnsi="Times New Roman" w:cs="Times New Roman"/>
          <w:color w:val="000000"/>
          <w:sz w:val="24"/>
          <w:szCs w:val="24"/>
        </w:rPr>
        <w:t>patients with high disease activity on high-dose glucocorticoids.</w:t>
      </w:r>
    </w:p>
    <w:p w14:paraId="34735009" w14:textId="77777777" w:rsidR="00B83901" w:rsidRPr="00F16B11" w:rsidRDefault="008D3E27" w:rsidP="00F16B11">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sidRPr="00F16B11">
        <w:rPr>
          <w:rFonts w:ascii="Times New Roman" w:eastAsia="Times New Roman" w:hAnsi="Times New Roman" w:cs="Times New Roman"/>
          <w:i/>
          <w:color w:val="000000"/>
          <w:sz w:val="24"/>
          <w:szCs w:val="24"/>
        </w:rPr>
        <w:t>Methods:</w:t>
      </w:r>
      <w:r w:rsidRPr="00F16B11">
        <w:rPr>
          <w:rFonts w:ascii="Times New Roman" w:eastAsia="Times New Roman" w:hAnsi="Times New Roman" w:cs="Times New Roman"/>
          <w:color w:val="000000"/>
          <w:sz w:val="24"/>
          <w:szCs w:val="24"/>
        </w:rPr>
        <w:t xml:space="preserve"> In this randomized, double-blind, placebo-controlled trial, 40 SLE inpatients on intravenous pulse therapy methylprednisolone were assigned to either a “high-dose” (HD) group (100,000 IU of vitamin D3 plus 7,000 IU weekly, n=20) or a “routine-dose” (RD) group (placebo plus 7,000 IU weekly, n=20) for 24 weeks. Clinical and laboratory changes in disease activity (Δ = final - initial values) were assessed from baseline to study end.</w:t>
      </w:r>
    </w:p>
    <w:p w14:paraId="46D22CC8" w14:textId="77777777" w:rsidR="00B83901" w:rsidRPr="00F16B11" w:rsidRDefault="008D3E27" w:rsidP="00F16B11">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sidRPr="00F16B11">
        <w:rPr>
          <w:rFonts w:ascii="Times New Roman" w:eastAsia="Times New Roman" w:hAnsi="Times New Roman" w:cs="Times New Roman"/>
          <w:i/>
          <w:color w:val="000000"/>
          <w:sz w:val="24"/>
          <w:szCs w:val="24"/>
        </w:rPr>
        <w:t>Results</w:t>
      </w:r>
      <w:r w:rsidRPr="00F16B11">
        <w:rPr>
          <w:rFonts w:ascii="Times New Roman" w:eastAsia="Times New Roman" w:hAnsi="Times New Roman" w:cs="Times New Roman"/>
          <w:color w:val="000000"/>
          <w:sz w:val="24"/>
          <w:szCs w:val="24"/>
        </w:rPr>
        <w:t>: Baseline SLEDAI scores were comparable between the HD group (median 19, IQR 14-22.3) and the RD group (median 14.5, IQR 11.8-21; p=0.230). After 24 weeks, the HD group had a greater increase in 25OHD levels (median 15.4, IQR 31.0-6.5 ng/ml) than the RD group (median 8.0, IQR 15.0-3.0 ng/ml; p=0.028). Although SLEDAI scores showed no difference, a trend suggested a higher ΔC4 increase in the HD group (7.38 vs. 3.27, p=0.093). Positive correlations were found between Δ25OHD and disease activity markers. ROC analysis identified Δ25OHD cut-offs of 12.9 ng/ml (AUC=0.741) for C3 and 11.7 ng/ml (AUC=0.757) for C4 normalization, indicating that exceeding these increases improved the likelihood of normalizing complement levels.</w:t>
      </w:r>
    </w:p>
    <w:p w14:paraId="080CC163" w14:textId="77777777" w:rsidR="00B83901" w:rsidRPr="00F16B11" w:rsidRDefault="008D3E27" w:rsidP="00F16B11">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sidRPr="00F16B11">
        <w:rPr>
          <w:rFonts w:ascii="Times New Roman" w:eastAsia="Times New Roman" w:hAnsi="Times New Roman" w:cs="Times New Roman"/>
          <w:i/>
          <w:color w:val="000000"/>
          <w:sz w:val="24"/>
          <w:szCs w:val="24"/>
        </w:rPr>
        <w:t>Conclusion</w:t>
      </w:r>
      <w:r w:rsidRPr="00F16B11">
        <w:rPr>
          <w:rFonts w:ascii="Times New Roman" w:eastAsia="Times New Roman" w:hAnsi="Times New Roman" w:cs="Times New Roman"/>
          <w:color w:val="000000"/>
          <w:sz w:val="24"/>
          <w:szCs w:val="24"/>
        </w:rPr>
        <w:t>: Vitamin D3 supplementation improved disease activity markers in SLE patients on glucocorticoids, independent of immunosuppressive use or dosing regimen. Higher doses led to greater C4 increases and better vitamin D maintenance over 24 weeks, with doses up to 100,000 IU per week shown to be safe.</w:t>
      </w:r>
    </w:p>
    <w:p w14:paraId="6C63A670" w14:textId="77777777" w:rsidR="00B83901" w:rsidRPr="00F16B11" w:rsidRDefault="00B83901" w:rsidP="00F16B11">
      <w:pPr>
        <w:pBdr>
          <w:top w:val="nil"/>
          <w:left w:val="nil"/>
          <w:bottom w:val="nil"/>
          <w:right w:val="nil"/>
          <w:between w:val="nil"/>
        </w:pBdr>
        <w:spacing w:line="480" w:lineRule="auto"/>
        <w:jc w:val="both"/>
        <w:rPr>
          <w:rFonts w:ascii="Times New Roman" w:eastAsia="Times New Roman" w:hAnsi="Times New Roman" w:cs="Times New Roman"/>
          <w:i/>
          <w:color w:val="000000"/>
          <w:sz w:val="24"/>
          <w:szCs w:val="24"/>
        </w:rPr>
      </w:pPr>
    </w:p>
    <w:p w14:paraId="45F50EB9" w14:textId="77777777" w:rsidR="00B83901" w:rsidRPr="00F16B11" w:rsidRDefault="008D3E27" w:rsidP="00F16B11">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sidRPr="00F16B11">
        <w:rPr>
          <w:rFonts w:ascii="Times New Roman" w:eastAsia="Times New Roman" w:hAnsi="Times New Roman" w:cs="Times New Roman"/>
          <w:color w:val="000000"/>
          <w:sz w:val="24"/>
          <w:szCs w:val="24"/>
        </w:rPr>
        <w:lastRenderedPageBreak/>
        <w:t>Key words:</w:t>
      </w:r>
      <w:r w:rsidRPr="00F16B11">
        <w:rPr>
          <w:rFonts w:ascii="Times New Roman" w:eastAsia="Times New Roman" w:hAnsi="Times New Roman" w:cs="Times New Roman"/>
          <w:i/>
          <w:color w:val="000000"/>
          <w:sz w:val="24"/>
          <w:szCs w:val="24"/>
        </w:rPr>
        <w:t xml:space="preserve"> </w:t>
      </w:r>
      <w:r w:rsidRPr="00F16B11">
        <w:rPr>
          <w:rFonts w:ascii="Times New Roman" w:eastAsia="Times New Roman" w:hAnsi="Times New Roman" w:cs="Times New Roman"/>
          <w:color w:val="000000"/>
          <w:sz w:val="24"/>
          <w:szCs w:val="24"/>
        </w:rPr>
        <w:t>systemic lupus erythematosus, disease activity, vitamin D3 supplementation, high dose, serum 25OHD.</w:t>
      </w:r>
    </w:p>
    <w:p w14:paraId="378FADB8" w14:textId="77777777" w:rsidR="000F5434" w:rsidRPr="00F16B11" w:rsidRDefault="000F5434" w:rsidP="00F16B11">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p>
    <w:p w14:paraId="6301B6A0" w14:textId="77777777" w:rsidR="000F5434" w:rsidRPr="00F16B11" w:rsidRDefault="000F5434" w:rsidP="00F16B11">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p>
    <w:p w14:paraId="3A498F01" w14:textId="77777777" w:rsidR="000F5434" w:rsidRPr="00F16B11" w:rsidRDefault="000F5434" w:rsidP="00F16B11">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p>
    <w:p w14:paraId="1F69EBD7" w14:textId="77777777" w:rsidR="000F5434" w:rsidRPr="00F16B11" w:rsidRDefault="000F5434" w:rsidP="00F16B11">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p>
    <w:p w14:paraId="5BF58EA3" w14:textId="77777777" w:rsidR="000F5434" w:rsidRPr="00F16B11" w:rsidRDefault="000F5434" w:rsidP="00F16B11">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p>
    <w:p w14:paraId="299FFF87" w14:textId="77777777" w:rsidR="000F5434" w:rsidRDefault="000F5434" w:rsidP="00F16B11">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p>
    <w:p w14:paraId="73252056" w14:textId="77777777" w:rsidR="00F16B11" w:rsidRDefault="00F16B11" w:rsidP="00F16B11">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p>
    <w:p w14:paraId="7A0674B7" w14:textId="77777777" w:rsidR="00F16B11" w:rsidRDefault="00F16B11" w:rsidP="00F16B11">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p>
    <w:p w14:paraId="2AAB3450" w14:textId="77777777" w:rsidR="005961DC" w:rsidRDefault="005961DC" w:rsidP="00F16B11">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p>
    <w:p w14:paraId="51C6A440" w14:textId="77777777" w:rsidR="005961DC" w:rsidRDefault="005961DC" w:rsidP="00F16B11">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p>
    <w:p w14:paraId="7DC063C4" w14:textId="77777777" w:rsidR="005961DC" w:rsidRDefault="005961DC" w:rsidP="00F16B11">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p>
    <w:p w14:paraId="67189602" w14:textId="77777777" w:rsidR="005961DC" w:rsidRDefault="005961DC" w:rsidP="00F16B11">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p>
    <w:p w14:paraId="67342DDA" w14:textId="77777777" w:rsidR="005961DC" w:rsidRDefault="005961DC" w:rsidP="00F16B11">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p>
    <w:p w14:paraId="6020876D" w14:textId="77777777" w:rsidR="005961DC" w:rsidRDefault="005961DC" w:rsidP="00F16B11">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p>
    <w:p w14:paraId="02CF2ADE" w14:textId="77777777" w:rsidR="005961DC" w:rsidRDefault="005961DC" w:rsidP="00F16B11">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p>
    <w:p w14:paraId="4B33044E" w14:textId="77777777" w:rsidR="005961DC" w:rsidRDefault="005961DC" w:rsidP="00F16B11">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p>
    <w:p w14:paraId="165CE94B" w14:textId="77777777" w:rsidR="00F16B11" w:rsidRDefault="00F16B11" w:rsidP="00F16B11">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p>
    <w:p w14:paraId="7D225B02" w14:textId="77777777" w:rsidR="00F16B11" w:rsidRPr="00F16B11" w:rsidRDefault="00F16B11" w:rsidP="00F16B11">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p>
    <w:p w14:paraId="255D58D9" w14:textId="345F9897" w:rsidR="000F5434" w:rsidRPr="00F16B11" w:rsidRDefault="00CC1092" w:rsidP="00F16B11">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sidRPr="00CC1092">
        <w:rPr>
          <w:rFonts w:ascii="Times New Roman" w:eastAsia="Times New Roman" w:hAnsi="Times New Roman" w:cs="Times New Roman"/>
          <w:b/>
          <w:bCs/>
          <w:color w:val="000000"/>
          <w:sz w:val="24"/>
          <w:szCs w:val="24"/>
        </w:rPr>
        <w:lastRenderedPageBreak/>
        <w:t>Significance and Innovations</w:t>
      </w:r>
    </w:p>
    <w:p w14:paraId="5221B838" w14:textId="370F741A" w:rsidR="00CA55CC" w:rsidRPr="00CA55CC" w:rsidRDefault="00CA55CC" w:rsidP="00F16B11">
      <w:pPr>
        <w:pStyle w:val="PargrafodaLista"/>
        <w:numPr>
          <w:ilvl w:val="0"/>
          <w:numId w:val="2"/>
        </w:numPr>
        <w:pBdr>
          <w:top w:val="nil"/>
          <w:left w:val="nil"/>
          <w:bottom w:val="nil"/>
          <w:right w:val="nil"/>
          <w:between w:val="nil"/>
        </w:pBdr>
        <w:spacing w:before="100" w:beforeAutospacing="1" w:after="100" w:afterAutospacing="1" w:line="480" w:lineRule="auto"/>
        <w:jc w:val="both"/>
        <w:rPr>
          <w:rFonts w:ascii="Times New Roman" w:eastAsia="Times New Roman" w:hAnsi="Times New Roman" w:cs="Times New Roman"/>
          <w:sz w:val="24"/>
          <w:szCs w:val="24"/>
        </w:rPr>
      </w:pPr>
      <w:r w:rsidRPr="00CA55CC">
        <w:rPr>
          <w:rFonts w:ascii="Times New Roman" w:hAnsi="Times New Roman" w:cs="Times New Roman"/>
          <w:sz w:val="24"/>
          <w:szCs w:val="24"/>
        </w:rPr>
        <w:t>This is the first study to compare different doses of vitamin D</w:t>
      </w:r>
      <w:r w:rsidR="00DB4560">
        <w:rPr>
          <w:rFonts w:ascii="Times New Roman" w:hAnsi="Times New Roman" w:cs="Times New Roman"/>
          <w:sz w:val="24"/>
          <w:szCs w:val="24"/>
        </w:rPr>
        <w:t>3</w:t>
      </w:r>
      <w:r w:rsidRPr="00CA55CC">
        <w:rPr>
          <w:rFonts w:ascii="Times New Roman" w:hAnsi="Times New Roman" w:cs="Times New Roman"/>
          <w:sz w:val="24"/>
          <w:szCs w:val="24"/>
        </w:rPr>
        <w:t xml:space="preserve"> in a subgroup of severe SLE patients on high-dose glucocorticoid treatment</w:t>
      </w:r>
      <w:r w:rsidR="0002335E">
        <w:rPr>
          <w:rFonts w:ascii="Times New Roman" w:hAnsi="Times New Roman" w:cs="Times New Roman"/>
          <w:sz w:val="24"/>
          <w:szCs w:val="24"/>
        </w:rPr>
        <w:t>.</w:t>
      </w:r>
    </w:p>
    <w:p w14:paraId="2085F5E3" w14:textId="4DDA7E07" w:rsidR="00F71EDE" w:rsidRPr="00CA55CC" w:rsidRDefault="000F5434" w:rsidP="00F16B11">
      <w:pPr>
        <w:pStyle w:val="PargrafodaLista"/>
        <w:numPr>
          <w:ilvl w:val="0"/>
          <w:numId w:val="2"/>
        </w:numPr>
        <w:pBdr>
          <w:top w:val="nil"/>
          <w:left w:val="nil"/>
          <w:bottom w:val="nil"/>
          <w:right w:val="nil"/>
          <w:between w:val="nil"/>
        </w:pBdr>
        <w:spacing w:before="100" w:beforeAutospacing="1" w:after="100" w:afterAutospacing="1" w:line="480" w:lineRule="auto"/>
        <w:jc w:val="both"/>
        <w:rPr>
          <w:rFonts w:ascii="Times New Roman" w:eastAsia="Times New Roman" w:hAnsi="Times New Roman" w:cs="Times New Roman"/>
          <w:sz w:val="24"/>
          <w:szCs w:val="24"/>
        </w:rPr>
      </w:pPr>
      <w:r w:rsidRPr="00CA55CC">
        <w:rPr>
          <w:rFonts w:ascii="Times New Roman" w:hAnsi="Times New Roman" w:cs="Times New Roman"/>
          <w:sz w:val="24"/>
          <w:szCs w:val="24"/>
        </w:rPr>
        <w:t>High-dose</w:t>
      </w:r>
      <w:r w:rsidR="00127812" w:rsidRPr="00CA55CC">
        <w:rPr>
          <w:rFonts w:ascii="Times New Roman" w:hAnsi="Times New Roman" w:cs="Times New Roman"/>
          <w:sz w:val="24"/>
          <w:szCs w:val="24"/>
        </w:rPr>
        <w:t xml:space="preserve"> (100,000 IU weekly)</w:t>
      </w:r>
      <w:r w:rsidRPr="00CA55CC">
        <w:rPr>
          <w:rFonts w:ascii="Times New Roman" w:hAnsi="Times New Roman" w:cs="Times New Roman"/>
          <w:sz w:val="24"/>
          <w:szCs w:val="24"/>
        </w:rPr>
        <w:t xml:space="preserve"> and routine-dose vitamin D3 were tested in </w:t>
      </w:r>
      <w:r w:rsidR="00127812" w:rsidRPr="00CA55CC">
        <w:rPr>
          <w:rFonts w:ascii="Times New Roman" w:hAnsi="Times New Roman" w:cs="Times New Roman"/>
          <w:sz w:val="24"/>
          <w:szCs w:val="24"/>
        </w:rPr>
        <w:t xml:space="preserve">severe </w:t>
      </w:r>
      <w:r w:rsidRPr="00CA55CC">
        <w:rPr>
          <w:rFonts w:ascii="Times New Roman" w:hAnsi="Times New Roman" w:cs="Times New Roman"/>
          <w:sz w:val="24"/>
          <w:szCs w:val="24"/>
        </w:rPr>
        <w:t xml:space="preserve">lupus on pulse steroid therapy. </w:t>
      </w:r>
    </w:p>
    <w:p w14:paraId="62E41C12" w14:textId="73C32597" w:rsidR="003B70EE" w:rsidRPr="00CA55CC" w:rsidRDefault="003B70EE" w:rsidP="00F16B11">
      <w:pPr>
        <w:pStyle w:val="PargrafodaLista"/>
        <w:numPr>
          <w:ilvl w:val="0"/>
          <w:numId w:val="2"/>
        </w:numPr>
        <w:pBdr>
          <w:top w:val="nil"/>
          <w:left w:val="nil"/>
          <w:bottom w:val="nil"/>
          <w:right w:val="nil"/>
          <w:between w:val="nil"/>
        </w:pBdr>
        <w:spacing w:before="100" w:beforeAutospacing="1" w:after="100" w:afterAutospacing="1" w:line="480" w:lineRule="auto"/>
        <w:jc w:val="both"/>
        <w:rPr>
          <w:rFonts w:ascii="Times New Roman" w:eastAsia="Times New Roman" w:hAnsi="Times New Roman" w:cs="Times New Roman"/>
          <w:sz w:val="24"/>
          <w:szCs w:val="24"/>
        </w:rPr>
      </w:pPr>
      <w:r w:rsidRPr="00CA55CC">
        <w:rPr>
          <w:rFonts w:ascii="Times New Roman" w:eastAsia="Times New Roman" w:hAnsi="Times New Roman" w:cs="Times New Roman"/>
          <w:sz w:val="24"/>
          <w:szCs w:val="24"/>
        </w:rPr>
        <w:t>Vitamin D3 supplementation was linked with lower disease activity, particularly with high doses, regardless of lupus treatment.</w:t>
      </w:r>
    </w:p>
    <w:p w14:paraId="2EF9C04D" w14:textId="696A151C" w:rsidR="000F5434" w:rsidRPr="00CA55CC" w:rsidRDefault="000F5434" w:rsidP="00F16B11">
      <w:pPr>
        <w:pStyle w:val="PargrafodaLista"/>
        <w:numPr>
          <w:ilvl w:val="0"/>
          <w:numId w:val="2"/>
        </w:numPr>
        <w:pBdr>
          <w:top w:val="nil"/>
          <w:left w:val="nil"/>
          <w:bottom w:val="nil"/>
          <w:right w:val="nil"/>
          <w:between w:val="nil"/>
        </w:pBdr>
        <w:spacing w:line="480" w:lineRule="auto"/>
        <w:jc w:val="both"/>
        <w:rPr>
          <w:rFonts w:ascii="Times New Roman" w:eastAsia="Arial" w:hAnsi="Times New Roman" w:cs="Times New Roman"/>
          <w:bCs/>
          <w:color w:val="000000"/>
          <w:sz w:val="24"/>
          <w:szCs w:val="24"/>
        </w:rPr>
      </w:pPr>
      <w:r w:rsidRPr="00CA55CC">
        <w:rPr>
          <w:rFonts w:ascii="Times New Roman" w:eastAsia="Arial" w:hAnsi="Times New Roman" w:cs="Times New Roman"/>
          <w:bCs/>
          <w:color w:val="000000"/>
          <w:sz w:val="24"/>
          <w:szCs w:val="24"/>
        </w:rPr>
        <w:t xml:space="preserve">The high-dose group </w:t>
      </w:r>
      <w:r w:rsidR="00F71EDE" w:rsidRPr="00CA55CC">
        <w:rPr>
          <w:rFonts w:ascii="Times New Roman" w:eastAsia="Times New Roman" w:hAnsi="Times New Roman" w:cs="Times New Roman"/>
          <w:sz w:val="24"/>
          <w:szCs w:val="24"/>
        </w:rPr>
        <w:t xml:space="preserve">more effectively </w:t>
      </w:r>
      <w:r w:rsidRPr="00CA55CC">
        <w:rPr>
          <w:rFonts w:ascii="Times New Roman" w:eastAsia="Arial" w:hAnsi="Times New Roman" w:cs="Times New Roman"/>
          <w:bCs/>
          <w:color w:val="000000"/>
          <w:sz w:val="24"/>
          <w:szCs w:val="24"/>
        </w:rPr>
        <w:t>maintained adequate serum vitamin D values after 24 weeks.</w:t>
      </w:r>
    </w:p>
    <w:p w14:paraId="4768B51C" w14:textId="77777777" w:rsidR="00AD4CA1" w:rsidRPr="00F16B11" w:rsidRDefault="00AD4CA1" w:rsidP="00F16B11">
      <w:pPr>
        <w:pBdr>
          <w:top w:val="nil"/>
          <w:left w:val="nil"/>
          <w:bottom w:val="nil"/>
          <w:right w:val="nil"/>
          <w:between w:val="nil"/>
        </w:pBdr>
        <w:spacing w:line="480" w:lineRule="auto"/>
        <w:jc w:val="both"/>
        <w:rPr>
          <w:rFonts w:ascii="Times New Roman" w:eastAsia="Arial" w:hAnsi="Times New Roman" w:cs="Times New Roman"/>
          <w:bCs/>
          <w:color w:val="000000"/>
          <w:sz w:val="24"/>
          <w:szCs w:val="24"/>
        </w:rPr>
      </w:pPr>
    </w:p>
    <w:p w14:paraId="1B5F9E1F" w14:textId="77777777" w:rsidR="000F5434" w:rsidRDefault="000F5434" w:rsidP="00F16B11">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p>
    <w:p w14:paraId="384996ED" w14:textId="77777777" w:rsidR="003C6A3C" w:rsidRDefault="003C6A3C" w:rsidP="00F16B11">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p>
    <w:p w14:paraId="17354D76" w14:textId="77777777" w:rsidR="003C6A3C" w:rsidRDefault="003C6A3C" w:rsidP="00F16B11">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p>
    <w:p w14:paraId="7CFA954B" w14:textId="77777777" w:rsidR="003C6A3C" w:rsidRDefault="003C6A3C" w:rsidP="00F16B11">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p>
    <w:p w14:paraId="56EB3CD6" w14:textId="77777777" w:rsidR="003C6A3C" w:rsidRDefault="003C6A3C" w:rsidP="00F16B11">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p>
    <w:p w14:paraId="52C7C723" w14:textId="77777777" w:rsidR="003C6A3C" w:rsidRDefault="003C6A3C" w:rsidP="00F16B11">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p>
    <w:p w14:paraId="177DDF94" w14:textId="77777777" w:rsidR="003C6A3C" w:rsidRDefault="003C6A3C" w:rsidP="00F16B11">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p>
    <w:p w14:paraId="655F8787" w14:textId="77777777" w:rsidR="003C6A3C" w:rsidRDefault="003C6A3C" w:rsidP="00F16B11">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p>
    <w:p w14:paraId="3B631E66" w14:textId="77777777" w:rsidR="003C6A3C" w:rsidRDefault="003C6A3C" w:rsidP="00F16B11">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p>
    <w:p w14:paraId="4E724D22" w14:textId="77777777" w:rsidR="003C6A3C" w:rsidRDefault="003C6A3C" w:rsidP="00F16B11">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p>
    <w:p w14:paraId="0ABA4A58" w14:textId="77777777" w:rsidR="003C6A3C" w:rsidRDefault="003C6A3C" w:rsidP="00F16B11">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p>
    <w:p w14:paraId="3C3EA806" w14:textId="77777777" w:rsidR="00B83901" w:rsidRPr="00F16B11" w:rsidRDefault="008D3E27" w:rsidP="00F16B11">
      <w:pPr>
        <w:spacing w:line="480" w:lineRule="auto"/>
        <w:ind w:firstLine="720"/>
        <w:jc w:val="both"/>
        <w:rPr>
          <w:rFonts w:ascii="Times New Roman" w:eastAsia="Times New Roman" w:hAnsi="Times New Roman" w:cs="Times New Roman"/>
          <w:color w:val="000000"/>
          <w:sz w:val="24"/>
          <w:szCs w:val="24"/>
        </w:rPr>
      </w:pPr>
      <w:r w:rsidRPr="00F16B11">
        <w:rPr>
          <w:rFonts w:ascii="Times New Roman" w:eastAsia="Times New Roman" w:hAnsi="Times New Roman" w:cs="Times New Roman"/>
          <w:color w:val="000000"/>
          <w:sz w:val="24"/>
          <w:szCs w:val="24"/>
        </w:rPr>
        <w:lastRenderedPageBreak/>
        <w:t xml:space="preserve">Vitamin D deficiency is frequently observed in individuals with systemic lupus erythematosus (SLE), who are at an increased risk of hypovitaminosis D </w:t>
      </w:r>
      <w:r w:rsidRPr="00F16B11">
        <w:rPr>
          <w:rFonts w:ascii="Times New Roman" w:eastAsia="Times New Roman" w:hAnsi="Times New Roman" w:cs="Times New Roman"/>
          <w:sz w:val="24"/>
          <w:szCs w:val="24"/>
        </w:rPr>
        <w:t>[</w:t>
      </w:r>
      <w:r w:rsidRPr="00F16B11">
        <w:rPr>
          <w:rFonts w:ascii="Times New Roman" w:eastAsia="Times New Roman" w:hAnsi="Times New Roman" w:cs="Times New Roman"/>
          <w:color w:val="000000"/>
          <w:sz w:val="24"/>
          <w:szCs w:val="24"/>
        </w:rPr>
        <w:t>1,2</w:t>
      </w:r>
      <w:r w:rsidRPr="00F16B11">
        <w:rPr>
          <w:rFonts w:ascii="Times New Roman" w:eastAsia="Times New Roman" w:hAnsi="Times New Roman" w:cs="Times New Roman"/>
          <w:sz w:val="24"/>
          <w:szCs w:val="24"/>
        </w:rPr>
        <w:t>]</w:t>
      </w:r>
      <w:r w:rsidRPr="00F16B11">
        <w:rPr>
          <w:rFonts w:ascii="Times New Roman" w:eastAsia="Times New Roman" w:hAnsi="Times New Roman" w:cs="Times New Roman"/>
          <w:color w:val="000000"/>
          <w:sz w:val="24"/>
          <w:szCs w:val="24"/>
        </w:rPr>
        <w:t xml:space="preserve">. This risk is further exacerbated by factors such as avoidance of sun exposure, prolonged glucocorticoid therapy, and impaired 1-alpha hydroxylation due to nephritis and chronic inflammation </w:t>
      </w:r>
      <w:r w:rsidRPr="00F16B11">
        <w:rPr>
          <w:rFonts w:ascii="Times New Roman" w:eastAsia="Times New Roman" w:hAnsi="Times New Roman" w:cs="Times New Roman"/>
          <w:sz w:val="24"/>
          <w:szCs w:val="24"/>
        </w:rPr>
        <w:t>[</w:t>
      </w:r>
      <w:r w:rsidRPr="00F16B11">
        <w:rPr>
          <w:rFonts w:ascii="Times New Roman" w:eastAsia="Times New Roman" w:hAnsi="Times New Roman" w:cs="Times New Roman"/>
          <w:color w:val="000000"/>
          <w:sz w:val="24"/>
          <w:szCs w:val="24"/>
        </w:rPr>
        <w:t>1, 4</w:t>
      </w:r>
      <w:r w:rsidRPr="00F16B11">
        <w:rPr>
          <w:rFonts w:ascii="Times New Roman" w:eastAsia="Times New Roman" w:hAnsi="Times New Roman" w:cs="Times New Roman"/>
          <w:sz w:val="24"/>
          <w:szCs w:val="24"/>
        </w:rPr>
        <w:t>]</w:t>
      </w:r>
      <w:r w:rsidRPr="00F16B11">
        <w:rPr>
          <w:rFonts w:ascii="Times New Roman" w:eastAsia="Times New Roman" w:hAnsi="Times New Roman" w:cs="Times New Roman"/>
          <w:color w:val="000000"/>
          <w:sz w:val="24"/>
          <w:szCs w:val="24"/>
        </w:rPr>
        <w:t xml:space="preserve">. Additionally, the presence of anti-vitamin D antibodies, particularly in patients with lupus and antiphospholipid syndrome, especially those with positive anti-DNA antibodies, contributes to this deficiency </w:t>
      </w:r>
      <w:r w:rsidRPr="00F16B11">
        <w:rPr>
          <w:rFonts w:ascii="Times New Roman" w:eastAsia="Times New Roman" w:hAnsi="Times New Roman" w:cs="Times New Roman"/>
          <w:sz w:val="24"/>
          <w:szCs w:val="24"/>
        </w:rPr>
        <w:t>[3]</w:t>
      </w:r>
      <w:r w:rsidRPr="00F16B11">
        <w:rPr>
          <w:rFonts w:ascii="Times New Roman" w:eastAsia="Times New Roman" w:hAnsi="Times New Roman" w:cs="Times New Roman"/>
          <w:color w:val="000000"/>
          <w:sz w:val="24"/>
          <w:szCs w:val="24"/>
        </w:rPr>
        <w:t>.</w:t>
      </w:r>
    </w:p>
    <w:p w14:paraId="4AC0C805" w14:textId="77777777" w:rsidR="00B83901" w:rsidRPr="00F16B11" w:rsidRDefault="008D3E27" w:rsidP="00F16B11">
      <w:pPr>
        <w:spacing w:line="480" w:lineRule="auto"/>
        <w:ind w:firstLine="720"/>
        <w:jc w:val="both"/>
        <w:rPr>
          <w:rFonts w:ascii="Times New Roman" w:eastAsia="Times New Roman" w:hAnsi="Times New Roman" w:cs="Times New Roman"/>
          <w:color w:val="000000"/>
          <w:sz w:val="24"/>
          <w:szCs w:val="24"/>
        </w:rPr>
      </w:pPr>
      <w:r w:rsidRPr="00F16B11">
        <w:rPr>
          <w:rFonts w:ascii="Times New Roman" w:eastAsia="Times New Roman" w:hAnsi="Times New Roman" w:cs="Times New Roman"/>
          <w:color w:val="000000"/>
          <w:sz w:val="24"/>
          <w:szCs w:val="24"/>
        </w:rPr>
        <w:t xml:space="preserve">While hypovitaminosis D in SLE appears to correlate with increased disease activity and severity </w:t>
      </w:r>
      <w:r w:rsidRPr="00F16B11">
        <w:rPr>
          <w:rFonts w:ascii="Times New Roman" w:eastAsia="Times New Roman" w:hAnsi="Times New Roman" w:cs="Times New Roman"/>
          <w:sz w:val="24"/>
          <w:szCs w:val="24"/>
        </w:rPr>
        <w:t>[</w:t>
      </w:r>
      <w:r w:rsidRPr="00F16B11">
        <w:rPr>
          <w:rFonts w:ascii="Times New Roman" w:eastAsia="Times New Roman" w:hAnsi="Times New Roman" w:cs="Times New Roman"/>
          <w:color w:val="000000"/>
          <w:sz w:val="24"/>
          <w:szCs w:val="24"/>
        </w:rPr>
        <w:t>5-11], the results of the association studies remain controversial [12-14]</w:t>
      </w:r>
      <w:r w:rsidRPr="00F16B11">
        <w:rPr>
          <w:rFonts w:ascii="Times New Roman" w:eastAsia="Times New Roman" w:hAnsi="Times New Roman" w:cs="Times New Roman"/>
          <w:sz w:val="24"/>
          <w:szCs w:val="24"/>
        </w:rPr>
        <w:t>.</w:t>
      </w:r>
    </w:p>
    <w:p w14:paraId="60C6397D" w14:textId="77777777" w:rsidR="00B83901" w:rsidRPr="00F16B11" w:rsidRDefault="008D3E27" w:rsidP="00F16B11">
      <w:pPr>
        <w:spacing w:line="480" w:lineRule="auto"/>
        <w:ind w:firstLine="720"/>
        <w:jc w:val="both"/>
        <w:rPr>
          <w:rFonts w:ascii="Times New Roman" w:eastAsia="Times New Roman" w:hAnsi="Times New Roman" w:cs="Times New Roman"/>
          <w:color w:val="000000"/>
          <w:sz w:val="24"/>
          <w:szCs w:val="24"/>
        </w:rPr>
      </w:pPr>
      <w:r w:rsidRPr="00F16B11">
        <w:rPr>
          <w:rFonts w:ascii="Times New Roman" w:eastAsia="Times New Roman" w:hAnsi="Times New Roman" w:cs="Times New Roman"/>
          <w:color w:val="000000"/>
          <w:sz w:val="24"/>
          <w:szCs w:val="24"/>
        </w:rPr>
        <w:t xml:space="preserve">Moreover, clinical trials examining vitamin D supplementation, with doses ranging from 4,000 to 50,000 IU per week, have yielded divergent findings regarding their efficacy in improving SLE activity [4,15-21]. In a clinical trial conducted by our group, Lima et al. [4] demonstrated that supplementation with 50,000 IU of vitamin D3 in patients with juvenile SLE was associated with a reduction in disease activity, as measured by the Systemic Lupus Erythematosus Disease Activity Index (SLEDAI). This intervention also resulted in improved fatigue scores and decreased anti-DNA antibody titers, while maintaining a favorable safety profile. Notably, the study predominantly included patients with mild to moderate disease activity (median SLEDAI around 4, ranging from 0 to 12), a demographic similar to that observed in most </w:t>
      </w:r>
      <w:r w:rsidRPr="00F16B11">
        <w:rPr>
          <w:rFonts w:ascii="Times New Roman" w:eastAsia="Times New Roman" w:hAnsi="Times New Roman" w:cs="Times New Roman"/>
          <w:sz w:val="24"/>
          <w:szCs w:val="24"/>
        </w:rPr>
        <w:t>previous</w:t>
      </w:r>
      <w:r w:rsidRPr="00F16B11">
        <w:rPr>
          <w:rFonts w:ascii="Times New Roman" w:eastAsia="Times New Roman" w:hAnsi="Times New Roman" w:cs="Times New Roman"/>
          <w:color w:val="000000"/>
          <w:sz w:val="24"/>
          <w:szCs w:val="24"/>
        </w:rPr>
        <w:t xml:space="preserve"> research [15-21].</w:t>
      </w:r>
    </w:p>
    <w:p w14:paraId="2F9849CD" w14:textId="77777777" w:rsidR="00B83901" w:rsidRPr="00F16B11" w:rsidRDefault="008D3E27" w:rsidP="00F16B11">
      <w:pPr>
        <w:spacing w:line="480" w:lineRule="auto"/>
        <w:ind w:firstLine="720"/>
        <w:jc w:val="both"/>
        <w:rPr>
          <w:rFonts w:ascii="Times New Roman" w:eastAsia="Times New Roman" w:hAnsi="Times New Roman" w:cs="Times New Roman"/>
          <w:color w:val="000000"/>
          <w:sz w:val="24"/>
          <w:szCs w:val="24"/>
        </w:rPr>
      </w:pPr>
      <w:r w:rsidRPr="00F16B11">
        <w:rPr>
          <w:rFonts w:ascii="Times New Roman" w:eastAsia="Times New Roman" w:hAnsi="Times New Roman" w:cs="Times New Roman"/>
          <w:color w:val="000000"/>
          <w:sz w:val="24"/>
          <w:szCs w:val="24"/>
        </w:rPr>
        <w:t xml:space="preserve">Given that higher disease activity may correlate with lower 25OHD concentrations, it is pertinent to explore whether patients with severe SLE receiving high-dose glucocorticoid therapy could benefit more significantly from vitamin D3 supplementation in terms of improving disease activity. Furthermore, Lima et al. reported </w:t>
      </w:r>
      <w:r w:rsidRPr="00F16B11">
        <w:rPr>
          <w:rFonts w:ascii="Times New Roman" w:eastAsia="Times New Roman" w:hAnsi="Times New Roman" w:cs="Times New Roman"/>
          <w:color w:val="000000"/>
          <w:sz w:val="24"/>
          <w:szCs w:val="24"/>
        </w:rPr>
        <w:lastRenderedPageBreak/>
        <w:t>that approximately 30% of patients remained vitamin D deficient after six months of good adherence to supplementation [4]. This finding suggests that higher doses may be necessary to effectively correct hypovitaminosis D and sustain adequate 25OHD levels, particularly in individuals with more severe disease manifestations.</w:t>
      </w:r>
    </w:p>
    <w:p w14:paraId="00540BB4" w14:textId="77777777" w:rsidR="00B83901" w:rsidRPr="00F16B11" w:rsidRDefault="008D3E27" w:rsidP="00F16B11">
      <w:pPr>
        <w:spacing w:line="480" w:lineRule="auto"/>
        <w:ind w:firstLine="720"/>
        <w:jc w:val="both"/>
        <w:rPr>
          <w:rFonts w:ascii="Times New Roman" w:eastAsia="Times New Roman" w:hAnsi="Times New Roman" w:cs="Times New Roman"/>
          <w:color w:val="000000"/>
          <w:sz w:val="24"/>
          <w:szCs w:val="24"/>
        </w:rPr>
      </w:pPr>
      <w:bookmarkStart w:id="1" w:name="_heading=h.30j0zll" w:colFirst="0" w:colLast="0"/>
      <w:bookmarkEnd w:id="1"/>
      <w:r w:rsidRPr="00F16B11">
        <w:rPr>
          <w:rFonts w:ascii="Times New Roman" w:eastAsia="Times New Roman" w:hAnsi="Times New Roman" w:cs="Times New Roman"/>
          <w:color w:val="000000"/>
          <w:sz w:val="24"/>
          <w:szCs w:val="24"/>
        </w:rPr>
        <w:t>Thus, there exists a gap in the evidence regarding the efficacy of high-dose vitamin D3 supplementation in individuals with more severe forms of SLE, especially those who are hospitalized and receiving high doses of glucocorticoids, such as intravenous pulse therapy with methylprednisolone. Addressing this gap could enhance our understanding of the potential therapeutic benefits of vitamin D3 in this patient population.</w:t>
      </w:r>
    </w:p>
    <w:p w14:paraId="33519DC8" w14:textId="77777777" w:rsidR="00B83901" w:rsidRPr="00F16B11" w:rsidRDefault="008D3E27" w:rsidP="00F16B11">
      <w:pPr>
        <w:spacing w:line="480" w:lineRule="auto"/>
        <w:ind w:firstLine="720"/>
        <w:jc w:val="both"/>
        <w:rPr>
          <w:rFonts w:ascii="Times New Roman" w:eastAsia="Times New Roman" w:hAnsi="Times New Roman" w:cs="Times New Roman"/>
          <w:color w:val="000000"/>
          <w:sz w:val="24"/>
          <w:szCs w:val="24"/>
        </w:rPr>
      </w:pPr>
      <w:r w:rsidRPr="00F16B11">
        <w:rPr>
          <w:rFonts w:ascii="Times New Roman" w:eastAsia="Times New Roman" w:hAnsi="Times New Roman" w:cs="Times New Roman"/>
          <w:color w:val="000000"/>
          <w:sz w:val="24"/>
          <w:szCs w:val="24"/>
        </w:rPr>
        <w:t>Therefore, this study aimed to evaluate the effects of "high-dose" versus "routine-dose" vitamin D supplementation on disease activity parameters in hospitalized patients with severe systemic lupus erythematosus (SLE) following intravenous pulse therapy with methylprednisolone, over a 24-week follow-up period.</w:t>
      </w:r>
    </w:p>
    <w:p w14:paraId="5D1ECDA2" w14:textId="77777777" w:rsidR="00B83901" w:rsidRPr="00F16B11" w:rsidRDefault="008D3E27" w:rsidP="00F16B11">
      <w:pPr>
        <w:spacing w:before="280" w:after="280" w:line="480" w:lineRule="auto"/>
        <w:ind w:firstLine="720"/>
        <w:jc w:val="both"/>
        <w:rPr>
          <w:rFonts w:ascii="Times New Roman" w:eastAsia="Times New Roman" w:hAnsi="Times New Roman" w:cs="Times New Roman"/>
          <w:color w:val="000000"/>
          <w:sz w:val="24"/>
          <w:szCs w:val="24"/>
        </w:rPr>
      </w:pPr>
      <w:r w:rsidRPr="00F16B11">
        <w:rPr>
          <w:rFonts w:ascii="Times New Roman" w:eastAsia="Times New Roman" w:hAnsi="Times New Roman" w:cs="Times New Roman"/>
          <w:color w:val="000000"/>
          <w:sz w:val="24"/>
          <w:szCs w:val="24"/>
        </w:rPr>
        <w:t xml:space="preserve">A randomized, double-blind, placebo-controlled trial was conducted between May 2015 and November 2019 to assess the impact of vitamin D3 supplementation on disease activity in SLE patients admitted to a tertiary rheumatology center (Rheumatology Clinic at Hospital das Clínicas, Faculdade de Medicina, Universidade de São Paulo - HCFMUSP). </w:t>
      </w:r>
    </w:p>
    <w:p w14:paraId="4B2207FC" w14:textId="19918E85" w:rsidR="00B83901" w:rsidRPr="00F16B11" w:rsidRDefault="005961DC" w:rsidP="00F16B11">
      <w:pPr>
        <w:spacing w:before="280" w:after="28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Patients and </w:t>
      </w:r>
      <w:r w:rsidR="00E869C0" w:rsidRPr="00F16B11">
        <w:rPr>
          <w:rFonts w:ascii="Times New Roman" w:eastAsia="Times New Roman" w:hAnsi="Times New Roman" w:cs="Times New Roman"/>
          <w:b/>
          <w:sz w:val="24"/>
          <w:szCs w:val="24"/>
        </w:rPr>
        <w:t>M</w:t>
      </w:r>
      <w:r w:rsidR="008D3E27" w:rsidRPr="00F16B11">
        <w:rPr>
          <w:rFonts w:ascii="Times New Roman" w:eastAsia="Times New Roman" w:hAnsi="Times New Roman" w:cs="Times New Roman"/>
          <w:b/>
          <w:sz w:val="24"/>
          <w:szCs w:val="24"/>
        </w:rPr>
        <w:t>ethods</w:t>
      </w:r>
    </w:p>
    <w:p w14:paraId="73993293" w14:textId="77777777" w:rsidR="00B83901" w:rsidRPr="00F16B11" w:rsidRDefault="008D3E27" w:rsidP="00F16B11">
      <w:pPr>
        <w:spacing w:before="280" w:after="280" w:line="480" w:lineRule="auto"/>
        <w:jc w:val="both"/>
        <w:rPr>
          <w:rFonts w:ascii="Times New Roman" w:eastAsia="Times New Roman" w:hAnsi="Times New Roman" w:cs="Times New Roman"/>
          <w:i/>
          <w:color w:val="000000"/>
          <w:sz w:val="24"/>
          <w:szCs w:val="24"/>
        </w:rPr>
      </w:pPr>
      <w:r w:rsidRPr="00F16B11">
        <w:rPr>
          <w:rFonts w:ascii="Times New Roman" w:eastAsia="Times New Roman" w:hAnsi="Times New Roman" w:cs="Times New Roman"/>
          <w:i/>
          <w:color w:val="000000"/>
          <w:sz w:val="24"/>
          <w:szCs w:val="24"/>
        </w:rPr>
        <w:t>Study Design and Participants</w:t>
      </w:r>
    </w:p>
    <w:p w14:paraId="3A4DDBDF" w14:textId="77777777" w:rsidR="00763F97" w:rsidRPr="00F16B11" w:rsidRDefault="008D3E27" w:rsidP="00F16B11">
      <w:pPr>
        <w:spacing w:before="280" w:after="280" w:line="480" w:lineRule="auto"/>
        <w:ind w:firstLine="720"/>
        <w:jc w:val="both"/>
        <w:rPr>
          <w:rFonts w:ascii="Times New Roman" w:eastAsia="Times New Roman" w:hAnsi="Times New Roman" w:cs="Times New Roman"/>
          <w:color w:val="000000"/>
          <w:sz w:val="24"/>
          <w:szCs w:val="24"/>
        </w:rPr>
      </w:pPr>
      <w:r w:rsidRPr="00F16B11">
        <w:rPr>
          <w:rFonts w:ascii="Times New Roman" w:eastAsia="Times New Roman" w:hAnsi="Times New Roman" w:cs="Times New Roman"/>
          <w:color w:val="000000"/>
          <w:sz w:val="24"/>
          <w:szCs w:val="24"/>
        </w:rPr>
        <w:t xml:space="preserve">Forty patients with SLE were consecutively selected, all meeting the classification criteria set by the Systemic Lupus International Collaborating Clinics (SLICC) (2012) </w:t>
      </w:r>
      <w:r w:rsidRPr="00F16B11">
        <w:rPr>
          <w:rFonts w:ascii="Times New Roman" w:eastAsia="Times New Roman" w:hAnsi="Times New Roman" w:cs="Times New Roman"/>
          <w:color w:val="000000"/>
          <w:sz w:val="24"/>
          <w:szCs w:val="24"/>
        </w:rPr>
        <w:lastRenderedPageBreak/>
        <w:t xml:space="preserve">[22]. Disease activity was assessed using the Systemic Lupus Erythematosus Disease Activity Index 2000 (SLEDAI-2K) [23]. </w:t>
      </w:r>
    </w:p>
    <w:p w14:paraId="4B2EA2E5" w14:textId="77777777" w:rsidR="00763F97" w:rsidRPr="00F16B11" w:rsidRDefault="00763F97" w:rsidP="00F16B11">
      <w:pPr>
        <w:spacing w:before="280" w:after="280" w:line="480" w:lineRule="auto"/>
        <w:ind w:firstLine="720"/>
        <w:jc w:val="both"/>
        <w:rPr>
          <w:rFonts w:ascii="Times New Roman" w:eastAsia="Gungsuh" w:hAnsi="Times New Roman" w:cs="Times New Roman"/>
          <w:color w:val="000000"/>
          <w:sz w:val="24"/>
          <w:szCs w:val="24"/>
        </w:rPr>
      </w:pPr>
      <w:r w:rsidRPr="00F16B11">
        <w:rPr>
          <w:rFonts w:ascii="Times New Roman" w:eastAsia="Gungsuh" w:hAnsi="Times New Roman" w:cs="Times New Roman"/>
          <w:color w:val="000000"/>
          <w:sz w:val="24"/>
          <w:szCs w:val="24"/>
        </w:rPr>
        <w:t xml:space="preserve">Inclusion criteria encompassed patients aged ≥ 18 years with high disease activity (SLEDAI-2K &gt; 11) [24] who required hospitalization for intravenous pulse therapy with methylprednisolone. Patients with SLE and concomitant infections were also eligible, provided they exhibited active disease following clinical evaluation. </w:t>
      </w:r>
    </w:p>
    <w:p w14:paraId="2C4FD56A" w14:textId="0F9B17F3" w:rsidR="00B83901" w:rsidRPr="00F16B11" w:rsidRDefault="00763F97" w:rsidP="00F16B11">
      <w:pPr>
        <w:spacing w:before="280" w:after="280" w:line="480" w:lineRule="auto"/>
        <w:ind w:firstLine="720"/>
        <w:jc w:val="both"/>
        <w:rPr>
          <w:rFonts w:ascii="Times New Roman" w:eastAsia="Times New Roman" w:hAnsi="Times New Roman" w:cs="Times New Roman"/>
          <w:color w:val="000000"/>
          <w:sz w:val="24"/>
          <w:szCs w:val="24"/>
        </w:rPr>
      </w:pPr>
      <w:r w:rsidRPr="00F16B11">
        <w:rPr>
          <w:rFonts w:ascii="Times New Roman" w:eastAsia="Gungsuh" w:hAnsi="Times New Roman" w:cs="Times New Roman"/>
          <w:color w:val="000000"/>
          <w:sz w:val="24"/>
          <w:szCs w:val="24"/>
        </w:rPr>
        <w:t>Exclusion criteria included a concurrent diagnosis of another autoimmune disease, body mass index (BMI) ≥ 35 kg/m², severe renal insufficiency (estimated glomerular filtration rate &lt; 30 ml/min), a history of nephrolithiasis, hypercalciuria (≥ 4 mg/kg/24 hours), hypercalcemia (corrected total calcium &gt; 10.2 mg/dl), malabsorption, chronic liver disease, pregnancy, lactation, or refusal to participate in the study.</w:t>
      </w:r>
    </w:p>
    <w:p w14:paraId="0DBB1ED9" w14:textId="77777777" w:rsidR="00B83901" w:rsidRPr="00F16B11" w:rsidRDefault="008D3E27" w:rsidP="00F16B11">
      <w:pPr>
        <w:spacing w:before="280" w:after="280" w:line="480" w:lineRule="auto"/>
        <w:jc w:val="both"/>
        <w:rPr>
          <w:rFonts w:ascii="Times New Roman" w:eastAsia="Times New Roman" w:hAnsi="Times New Roman" w:cs="Times New Roman"/>
          <w:i/>
          <w:color w:val="000000"/>
          <w:sz w:val="24"/>
          <w:szCs w:val="24"/>
        </w:rPr>
      </w:pPr>
      <w:r w:rsidRPr="00F16B11">
        <w:rPr>
          <w:rFonts w:ascii="Times New Roman" w:eastAsia="Times New Roman" w:hAnsi="Times New Roman" w:cs="Times New Roman"/>
          <w:i/>
          <w:color w:val="000000"/>
          <w:sz w:val="24"/>
          <w:szCs w:val="24"/>
        </w:rPr>
        <w:t>Intervention</w:t>
      </w:r>
    </w:p>
    <w:p w14:paraId="5E9B2E6A" w14:textId="77777777" w:rsidR="00B83901" w:rsidRPr="00F16B11" w:rsidRDefault="008D3E27" w:rsidP="00F16B11">
      <w:pPr>
        <w:spacing w:before="280" w:after="280" w:line="480" w:lineRule="auto"/>
        <w:ind w:firstLine="720"/>
        <w:jc w:val="both"/>
        <w:rPr>
          <w:rFonts w:ascii="Times New Roman" w:eastAsia="Times New Roman" w:hAnsi="Times New Roman" w:cs="Times New Roman"/>
          <w:color w:val="000000"/>
          <w:sz w:val="24"/>
          <w:szCs w:val="24"/>
        </w:rPr>
      </w:pPr>
      <w:r w:rsidRPr="00F16B11">
        <w:rPr>
          <w:rFonts w:ascii="Times New Roman" w:eastAsia="Times New Roman" w:hAnsi="Times New Roman" w:cs="Times New Roman"/>
          <w:color w:val="000000"/>
          <w:sz w:val="24"/>
          <w:szCs w:val="24"/>
        </w:rPr>
        <w:t>Patients were randomly distributed (1:1) into two groups: high-dose vitamin D supplementation (HD) or routine-dose supplementation (RD), utilizing a computer-generated randomization code. Both examiners and patients were blinded to group assignments and treatment allocation.</w:t>
      </w:r>
    </w:p>
    <w:p w14:paraId="39DC77D5" w14:textId="77777777" w:rsidR="00E24332" w:rsidRDefault="008D3E27" w:rsidP="00F16B11">
      <w:pPr>
        <w:spacing w:before="280" w:after="280" w:line="480" w:lineRule="auto"/>
        <w:ind w:firstLine="720"/>
        <w:jc w:val="both"/>
        <w:rPr>
          <w:rFonts w:ascii="Times New Roman" w:eastAsia="Times New Roman" w:hAnsi="Times New Roman" w:cs="Times New Roman"/>
          <w:color w:val="000000"/>
          <w:sz w:val="24"/>
          <w:szCs w:val="24"/>
        </w:rPr>
      </w:pPr>
      <w:r w:rsidRPr="00F16B11">
        <w:rPr>
          <w:rFonts w:ascii="Times New Roman" w:eastAsia="Times New Roman" w:hAnsi="Times New Roman" w:cs="Times New Roman"/>
          <w:color w:val="000000"/>
          <w:sz w:val="24"/>
          <w:szCs w:val="24"/>
        </w:rPr>
        <w:t>The HD group received oral cholecalciferol (vitamin D3) at a dosage of 100,000 IU/week (four capsules of 25,000 IU) for three months, followed by 50,000 IU/week (two capsules of 25,000 IU) until the study's conclusion, totaling 24 weeks. Additionally, routine-dose supplementation (7,000 IU/week) was administered. The RD group received identical placebo capsules for 24 weeks, along with routine-dose supplementation (7,000 IU/week). Figure 1 presents the participant flow diagram for the study.</w:t>
      </w:r>
    </w:p>
    <w:p w14:paraId="41828B9A" w14:textId="3E9A2078" w:rsidR="00B83901" w:rsidRPr="00F16B11" w:rsidRDefault="008D3E27" w:rsidP="00F16B11">
      <w:pPr>
        <w:spacing w:before="280" w:after="280" w:line="480" w:lineRule="auto"/>
        <w:ind w:firstLine="720"/>
        <w:jc w:val="both"/>
        <w:rPr>
          <w:rFonts w:ascii="Times New Roman" w:eastAsia="Times New Roman" w:hAnsi="Times New Roman" w:cs="Times New Roman"/>
          <w:color w:val="000000"/>
          <w:sz w:val="24"/>
          <w:szCs w:val="24"/>
        </w:rPr>
      </w:pPr>
      <w:r w:rsidRPr="00F16B11">
        <w:rPr>
          <w:rFonts w:ascii="Times New Roman" w:eastAsia="Times New Roman" w:hAnsi="Times New Roman" w:cs="Times New Roman"/>
          <w:color w:val="000000"/>
          <w:sz w:val="24"/>
          <w:szCs w:val="24"/>
        </w:rPr>
        <w:lastRenderedPageBreak/>
        <w:t>Adherence to supplementation was monitored through pill counts returned at follow-up visits (weeks 4, 12, and 24 post-discharge) and biweekly telephone calls to patients.</w:t>
      </w:r>
    </w:p>
    <w:p w14:paraId="4832739A" w14:textId="77777777" w:rsidR="00B83901" w:rsidRPr="00F16B11" w:rsidRDefault="008D3E27" w:rsidP="00F16B11">
      <w:pPr>
        <w:spacing w:before="280" w:after="280" w:line="480" w:lineRule="auto"/>
        <w:ind w:firstLine="720"/>
        <w:jc w:val="both"/>
        <w:rPr>
          <w:rFonts w:ascii="Times New Roman" w:eastAsia="Times New Roman" w:hAnsi="Times New Roman" w:cs="Times New Roman"/>
          <w:color w:val="000000"/>
          <w:sz w:val="24"/>
          <w:szCs w:val="24"/>
        </w:rPr>
      </w:pPr>
      <w:r w:rsidRPr="00F16B11">
        <w:rPr>
          <w:rFonts w:ascii="Times New Roman" w:eastAsia="Times New Roman" w:hAnsi="Times New Roman" w:cs="Times New Roman"/>
          <w:color w:val="000000"/>
          <w:sz w:val="24"/>
          <w:szCs w:val="24"/>
        </w:rPr>
        <w:t>The study protocol was pre-registered (Clinical Trial Registry CAAE: 40675715.0.0000.0068) and received approval from the Ethics Committee. Informed consent was obtained from all patients.</w:t>
      </w:r>
    </w:p>
    <w:p w14:paraId="5289C0EC" w14:textId="77777777" w:rsidR="00B83901" w:rsidRPr="00F16B11" w:rsidRDefault="008D3E27" w:rsidP="00F16B11">
      <w:pPr>
        <w:spacing w:before="280" w:after="280" w:line="480" w:lineRule="auto"/>
        <w:jc w:val="both"/>
        <w:rPr>
          <w:rFonts w:ascii="Times New Roman" w:eastAsia="Times New Roman" w:hAnsi="Times New Roman" w:cs="Times New Roman"/>
          <w:i/>
          <w:color w:val="000000"/>
          <w:sz w:val="24"/>
          <w:szCs w:val="24"/>
        </w:rPr>
      </w:pPr>
      <w:r w:rsidRPr="00F16B11">
        <w:rPr>
          <w:rFonts w:ascii="Times New Roman" w:eastAsia="Times New Roman" w:hAnsi="Times New Roman" w:cs="Times New Roman"/>
          <w:i/>
          <w:sz w:val="24"/>
          <w:szCs w:val="24"/>
        </w:rPr>
        <w:t>SLE</w:t>
      </w:r>
      <w:r w:rsidRPr="00F16B11">
        <w:rPr>
          <w:rFonts w:ascii="Times New Roman" w:eastAsia="Times New Roman" w:hAnsi="Times New Roman" w:cs="Times New Roman"/>
          <w:i/>
          <w:color w:val="000000"/>
          <w:sz w:val="24"/>
          <w:szCs w:val="24"/>
        </w:rPr>
        <w:t xml:space="preserve"> Treatment </w:t>
      </w:r>
    </w:p>
    <w:p w14:paraId="09BAFFBF" w14:textId="77777777" w:rsidR="00B83901" w:rsidRPr="00F16B11" w:rsidRDefault="008D3E27" w:rsidP="00F16B11">
      <w:pPr>
        <w:spacing w:before="280" w:after="280" w:line="480" w:lineRule="auto"/>
        <w:ind w:firstLine="720"/>
        <w:jc w:val="both"/>
        <w:rPr>
          <w:rFonts w:ascii="Times New Roman" w:eastAsia="Times New Roman" w:hAnsi="Times New Roman" w:cs="Times New Roman"/>
          <w:color w:val="000000"/>
          <w:sz w:val="24"/>
          <w:szCs w:val="24"/>
        </w:rPr>
      </w:pPr>
      <w:r w:rsidRPr="00F16B11">
        <w:rPr>
          <w:rFonts w:ascii="Times New Roman" w:eastAsia="Times New Roman" w:hAnsi="Times New Roman" w:cs="Times New Roman"/>
          <w:color w:val="000000"/>
          <w:sz w:val="24"/>
          <w:szCs w:val="24"/>
        </w:rPr>
        <w:t>Both groups received standard induction treatment for severe SLE activity: intravenous pulse therapy with high-dose methylprednisolone (500-1000 mg/day for three days), followed by a gradual tapering of oral prednisone (1 mg/kg/day) over six months, in conjunction with hydroxychloroquine (400 mg/day) and a synthetic or biologic immunosuppressant. Prednisone was gradually reduced over the 24-week study period.</w:t>
      </w:r>
    </w:p>
    <w:p w14:paraId="65F1E5FA" w14:textId="77777777" w:rsidR="00B83901" w:rsidRPr="00F16B11" w:rsidRDefault="008D3E27" w:rsidP="00F16B11">
      <w:pPr>
        <w:spacing w:before="280" w:after="280" w:line="480" w:lineRule="auto"/>
        <w:jc w:val="both"/>
        <w:rPr>
          <w:rFonts w:ascii="Times New Roman" w:eastAsia="Times New Roman" w:hAnsi="Times New Roman" w:cs="Times New Roman"/>
          <w:i/>
          <w:color w:val="000000"/>
          <w:sz w:val="24"/>
          <w:szCs w:val="24"/>
        </w:rPr>
      </w:pPr>
      <w:r w:rsidRPr="00F16B11">
        <w:rPr>
          <w:rFonts w:ascii="Times New Roman" w:eastAsia="Times New Roman" w:hAnsi="Times New Roman" w:cs="Times New Roman"/>
          <w:i/>
          <w:color w:val="000000"/>
          <w:sz w:val="24"/>
          <w:szCs w:val="24"/>
        </w:rPr>
        <w:t xml:space="preserve">Clinical Assessment  </w:t>
      </w:r>
    </w:p>
    <w:p w14:paraId="0C108C61" w14:textId="77777777" w:rsidR="00B83901" w:rsidRPr="00F16B11" w:rsidRDefault="008D3E27" w:rsidP="00F16B11">
      <w:pPr>
        <w:spacing w:before="280" w:after="280" w:line="480" w:lineRule="auto"/>
        <w:ind w:firstLine="720"/>
        <w:jc w:val="both"/>
        <w:rPr>
          <w:rFonts w:ascii="Times New Roman" w:eastAsia="Times New Roman" w:hAnsi="Times New Roman" w:cs="Times New Roman"/>
          <w:color w:val="000000"/>
          <w:sz w:val="24"/>
          <w:szCs w:val="24"/>
        </w:rPr>
      </w:pPr>
      <w:r w:rsidRPr="00F16B11">
        <w:rPr>
          <w:rFonts w:ascii="Times New Roman" w:eastAsia="Times New Roman" w:hAnsi="Times New Roman" w:cs="Times New Roman"/>
          <w:color w:val="000000"/>
          <w:sz w:val="24"/>
          <w:szCs w:val="24"/>
        </w:rPr>
        <w:t xml:space="preserve">Patients were clinically evaluated at the study's onset (during hospitalization) and again at 12 and 24 weeks after discharge. Demographic and clinical variables were assessed using a specific questionnaire.  </w:t>
      </w:r>
    </w:p>
    <w:p w14:paraId="71E60F92" w14:textId="77777777" w:rsidR="00B83901" w:rsidRPr="00F16B11" w:rsidRDefault="008D3E27" w:rsidP="00F16B11">
      <w:pPr>
        <w:spacing w:before="280" w:after="280" w:line="480" w:lineRule="auto"/>
        <w:ind w:firstLine="720"/>
        <w:jc w:val="both"/>
        <w:rPr>
          <w:rFonts w:ascii="Times New Roman" w:eastAsia="Times New Roman" w:hAnsi="Times New Roman" w:cs="Times New Roman"/>
          <w:color w:val="000000"/>
          <w:sz w:val="24"/>
          <w:szCs w:val="24"/>
        </w:rPr>
      </w:pPr>
      <w:r w:rsidRPr="00F16B11">
        <w:rPr>
          <w:rFonts w:ascii="Times New Roman" w:eastAsia="Times New Roman" w:hAnsi="Times New Roman" w:cs="Times New Roman"/>
          <w:color w:val="000000"/>
          <w:sz w:val="24"/>
          <w:szCs w:val="24"/>
        </w:rPr>
        <w:t xml:space="preserve">Race was defined through self-identification, whereby participants selected a racial category corresponding to classifications used by the Brazilian Institute of Geography and Statistics (IBGE): White, Black, Brown, Yellow (for individuals of Asian descent), and Indigenous [25].  </w:t>
      </w:r>
    </w:p>
    <w:p w14:paraId="21F045EF" w14:textId="77777777" w:rsidR="00B83901" w:rsidRPr="00F16B11" w:rsidRDefault="008D3E27" w:rsidP="00F16B11">
      <w:pPr>
        <w:spacing w:before="280" w:after="280" w:line="480" w:lineRule="auto"/>
        <w:ind w:firstLine="720"/>
        <w:jc w:val="both"/>
        <w:rPr>
          <w:rFonts w:ascii="Times New Roman" w:eastAsia="Times New Roman" w:hAnsi="Times New Roman" w:cs="Times New Roman"/>
          <w:color w:val="000000"/>
          <w:sz w:val="24"/>
          <w:szCs w:val="24"/>
        </w:rPr>
      </w:pPr>
      <w:r w:rsidRPr="00F16B11">
        <w:rPr>
          <w:rFonts w:ascii="Times New Roman" w:eastAsia="Times New Roman" w:hAnsi="Times New Roman" w:cs="Times New Roman"/>
          <w:color w:val="000000"/>
          <w:sz w:val="24"/>
          <w:szCs w:val="24"/>
        </w:rPr>
        <w:t xml:space="preserve">Photoprotection was recommended for all patients, none of whom had used vitamin D for at least three months prior to study enrollment. Additional data collected </w:t>
      </w:r>
      <w:r w:rsidRPr="00F16B11">
        <w:rPr>
          <w:rFonts w:ascii="Times New Roman" w:eastAsia="Times New Roman" w:hAnsi="Times New Roman" w:cs="Times New Roman"/>
          <w:color w:val="000000"/>
          <w:sz w:val="24"/>
          <w:szCs w:val="24"/>
        </w:rPr>
        <w:lastRenderedPageBreak/>
        <w:t xml:space="preserve">included disease duration, treatment information (medication usage, dosages, and cumulative prednisone dosage), and the number of incident infections during follow-up.  </w:t>
      </w:r>
    </w:p>
    <w:p w14:paraId="19B798E6" w14:textId="77777777" w:rsidR="00B83901" w:rsidRPr="00F16B11" w:rsidRDefault="008D3E27" w:rsidP="00F16B11">
      <w:pPr>
        <w:spacing w:before="280" w:after="280" w:line="480" w:lineRule="auto"/>
        <w:ind w:firstLine="720"/>
        <w:jc w:val="both"/>
        <w:rPr>
          <w:rFonts w:ascii="Times New Roman" w:eastAsia="Times New Roman" w:hAnsi="Times New Roman" w:cs="Times New Roman"/>
          <w:color w:val="000000"/>
          <w:sz w:val="24"/>
          <w:szCs w:val="24"/>
        </w:rPr>
      </w:pPr>
      <w:r w:rsidRPr="00F16B11">
        <w:rPr>
          <w:rFonts w:ascii="Times New Roman" w:eastAsia="Times New Roman" w:hAnsi="Times New Roman" w:cs="Times New Roman"/>
          <w:color w:val="000000"/>
          <w:sz w:val="24"/>
          <w:szCs w:val="24"/>
        </w:rPr>
        <w:t>The SLEDAI-2K (Systemic Lupus Erythematosus Disease Activity Index 2000) [23] and the Systemic Lupus International Collaborating Clinics (SLICC) Damage Index (SDI) [26] were employed to assess disease activity and damage, respectively, with measurements taken at baseline and throughout the follow-up period. Assessment of concomitant infections was conducted according to guidelines from the National Health Surveillance Agency (ANVISA 2009) [27-28].</w:t>
      </w:r>
    </w:p>
    <w:p w14:paraId="33717670" w14:textId="77777777" w:rsidR="00B83901" w:rsidRPr="00F16B11" w:rsidRDefault="008D3E27" w:rsidP="00F16B11">
      <w:pPr>
        <w:spacing w:before="280" w:after="280" w:line="480" w:lineRule="auto"/>
        <w:jc w:val="both"/>
        <w:rPr>
          <w:rFonts w:ascii="Times New Roman" w:eastAsia="Times New Roman" w:hAnsi="Times New Roman" w:cs="Times New Roman"/>
          <w:i/>
          <w:color w:val="000000"/>
          <w:sz w:val="24"/>
          <w:szCs w:val="24"/>
        </w:rPr>
      </w:pPr>
      <w:r w:rsidRPr="00F16B11">
        <w:rPr>
          <w:rFonts w:ascii="Times New Roman" w:eastAsia="Times New Roman" w:hAnsi="Times New Roman" w:cs="Times New Roman"/>
          <w:i/>
          <w:color w:val="000000"/>
          <w:sz w:val="24"/>
          <w:szCs w:val="24"/>
        </w:rPr>
        <w:t>Laboratory Evaluation</w:t>
      </w:r>
    </w:p>
    <w:p w14:paraId="22D97A16" w14:textId="77777777" w:rsidR="00B83901" w:rsidRPr="00F16B11" w:rsidRDefault="008D3E27" w:rsidP="00F16B11">
      <w:pPr>
        <w:spacing w:before="280" w:after="280" w:line="480" w:lineRule="auto"/>
        <w:ind w:firstLine="720"/>
        <w:jc w:val="both"/>
        <w:rPr>
          <w:rFonts w:ascii="Times New Roman" w:eastAsia="Times New Roman" w:hAnsi="Times New Roman" w:cs="Times New Roman"/>
          <w:color w:val="000000"/>
          <w:sz w:val="24"/>
          <w:szCs w:val="24"/>
        </w:rPr>
      </w:pPr>
      <w:r w:rsidRPr="00F16B11">
        <w:rPr>
          <w:rFonts w:ascii="Times New Roman" w:eastAsia="Times New Roman" w:hAnsi="Times New Roman" w:cs="Times New Roman"/>
          <w:color w:val="000000"/>
          <w:sz w:val="24"/>
          <w:szCs w:val="24"/>
        </w:rPr>
        <w:t xml:space="preserve">Participants underwent laboratory evaluations at the beginning of the study (during hospitalization) and subsequently at 12 and 24 weeks after discharge. Tests included immunological data (presence and titers of anti-dsDNA, serum levels of C3 and C4 complement), acute phase reactants (C-reactive protein [CRP] and erythrocyte sedimentation rate [ESR]), as well as bone metabolic parameters (serum calcium, intact parathyroid hormone [PTH], and 24-hour urinary calcium).  </w:t>
      </w:r>
    </w:p>
    <w:p w14:paraId="0C2D57D7" w14:textId="77777777" w:rsidR="00B83901" w:rsidRPr="00F16B11" w:rsidRDefault="008D3E27" w:rsidP="00F16B11">
      <w:pPr>
        <w:spacing w:before="280" w:after="280" w:line="480" w:lineRule="auto"/>
        <w:ind w:firstLine="720"/>
        <w:jc w:val="both"/>
        <w:rPr>
          <w:rFonts w:ascii="Times New Roman" w:eastAsia="Times New Roman" w:hAnsi="Times New Roman" w:cs="Times New Roman"/>
          <w:color w:val="000000"/>
          <w:sz w:val="24"/>
          <w:szCs w:val="24"/>
        </w:rPr>
      </w:pPr>
      <w:r w:rsidRPr="00F16B11">
        <w:rPr>
          <w:rFonts w:ascii="Times New Roman" w:eastAsia="Times New Roman" w:hAnsi="Times New Roman" w:cs="Times New Roman"/>
          <w:color w:val="000000"/>
          <w:sz w:val="24"/>
          <w:szCs w:val="24"/>
        </w:rPr>
        <w:t xml:space="preserve">Anti-dsDNA antibodies were determined by indirect immunofluorescence using </w:t>
      </w:r>
      <w:r w:rsidRPr="00F16B11">
        <w:rPr>
          <w:rFonts w:ascii="Times New Roman" w:eastAsia="Times New Roman" w:hAnsi="Times New Roman" w:cs="Times New Roman"/>
          <w:i/>
          <w:color w:val="000000"/>
          <w:sz w:val="24"/>
          <w:szCs w:val="24"/>
        </w:rPr>
        <w:t>Crithidia luciliae</w:t>
      </w:r>
      <w:r w:rsidRPr="00F16B11">
        <w:rPr>
          <w:rFonts w:ascii="Times New Roman" w:eastAsia="Times New Roman" w:hAnsi="Times New Roman" w:cs="Times New Roman"/>
          <w:color w:val="000000"/>
          <w:sz w:val="24"/>
          <w:szCs w:val="24"/>
        </w:rPr>
        <w:t xml:space="preserve"> as substrate (Aarden LA, Ann N Y Acad Sci). Serum concentrations of 25(OH)D were measured by electrochemiluminescence immunoassay (Elecsys®, Roche). The intra- and inter-assay coefficients of variation were 7.8% and 5.6%, respectively.  </w:t>
      </w:r>
    </w:p>
    <w:p w14:paraId="428F8F46" w14:textId="77777777" w:rsidR="00B83901" w:rsidRPr="00F16B11" w:rsidRDefault="008D3E27" w:rsidP="00F16B11">
      <w:pPr>
        <w:spacing w:before="280" w:after="280" w:line="480" w:lineRule="auto"/>
        <w:ind w:firstLine="720"/>
        <w:jc w:val="both"/>
        <w:rPr>
          <w:rFonts w:ascii="Times New Roman" w:eastAsia="Times New Roman" w:hAnsi="Times New Roman" w:cs="Times New Roman"/>
          <w:color w:val="000000"/>
          <w:sz w:val="24"/>
          <w:szCs w:val="24"/>
        </w:rPr>
      </w:pPr>
      <w:r w:rsidRPr="00F16B11">
        <w:rPr>
          <w:rFonts w:ascii="Times New Roman" w:eastAsia="Times New Roman" w:hAnsi="Times New Roman" w:cs="Times New Roman"/>
          <w:color w:val="000000"/>
          <w:sz w:val="24"/>
          <w:szCs w:val="24"/>
        </w:rPr>
        <w:t>All laboratory analyses were performed at our academic center, which has extensive experience in these tests, within the Central Laboratory Division of HCFMUSP.</w:t>
      </w:r>
    </w:p>
    <w:p w14:paraId="187844CD" w14:textId="77777777" w:rsidR="00B83901" w:rsidRPr="00F16B11" w:rsidRDefault="008D3E27" w:rsidP="00F16B11">
      <w:pPr>
        <w:spacing w:before="280" w:after="280" w:line="480" w:lineRule="auto"/>
        <w:jc w:val="both"/>
        <w:rPr>
          <w:rFonts w:ascii="Times New Roman" w:eastAsia="Times New Roman" w:hAnsi="Times New Roman" w:cs="Times New Roman"/>
          <w:i/>
          <w:color w:val="000000"/>
          <w:sz w:val="24"/>
          <w:szCs w:val="24"/>
        </w:rPr>
      </w:pPr>
      <w:r w:rsidRPr="00F16B11">
        <w:rPr>
          <w:rFonts w:ascii="Times New Roman" w:eastAsia="Times New Roman" w:hAnsi="Times New Roman" w:cs="Times New Roman"/>
          <w:i/>
          <w:color w:val="000000"/>
          <w:sz w:val="24"/>
          <w:szCs w:val="24"/>
        </w:rPr>
        <w:lastRenderedPageBreak/>
        <w:t xml:space="preserve">Statistical Analysis  </w:t>
      </w:r>
    </w:p>
    <w:p w14:paraId="58F4342E" w14:textId="77777777" w:rsidR="00B83901" w:rsidRPr="00F16B11" w:rsidRDefault="008D3E27" w:rsidP="00F16B11">
      <w:pPr>
        <w:spacing w:before="280" w:after="280" w:line="480" w:lineRule="auto"/>
        <w:ind w:firstLine="720"/>
        <w:jc w:val="both"/>
        <w:rPr>
          <w:rFonts w:ascii="Times New Roman" w:eastAsia="Times New Roman" w:hAnsi="Times New Roman" w:cs="Times New Roman"/>
          <w:color w:val="000000"/>
          <w:sz w:val="24"/>
          <w:szCs w:val="24"/>
        </w:rPr>
      </w:pPr>
      <w:r w:rsidRPr="00F16B11">
        <w:rPr>
          <w:rFonts w:ascii="Times New Roman" w:eastAsia="Times New Roman" w:hAnsi="Times New Roman" w:cs="Times New Roman"/>
          <w:color w:val="000000"/>
          <w:sz w:val="24"/>
          <w:szCs w:val="24"/>
        </w:rPr>
        <w:t>The number of participants was determined based on the feasibility of the study, considering available resources, the capacity of the research team and infrastructure, as well as patient availability, in accordance with current recommendations [29,30</w:t>
      </w:r>
      <w:r w:rsidRPr="00F16B11">
        <w:rPr>
          <w:rFonts w:ascii="Times New Roman" w:eastAsia="Times New Roman" w:hAnsi="Times New Roman" w:cs="Times New Roman"/>
          <w:sz w:val="24"/>
          <w:szCs w:val="24"/>
        </w:rPr>
        <w:t>]</w:t>
      </w:r>
      <w:r w:rsidRPr="00F16B11">
        <w:rPr>
          <w:rFonts w:ascii="Times New Roman" w:eastAsia="Times New Roman" w:hAnsi="Times New Roman" w:cs="Times New Roman"/>
          <w:color w:val="000000"/>
          <w:sz w:val="24"/>
          <w:szCs w:val="24"/>
        </w:rPr>
        <w:t xml:space="preserve">. We aimed for a sample size comparable to that of a previously conducted randomized, placebo-controlled trial by our group, which evaluated vitamin D supplementation and demonstrated significant differences in disease activity parameters among patients with juvenile SLE, including 20 participants in each group [4].  </w:t>
      </w:r>
    </w:p>
    <w:p w14:paraId="2B829C08" w14:textId="77777777" w:rsidR="00B83901" w:rsidRPr="00F16B11" w:rsidRDefault="008D3E27" w:rsidP="00F16B11">
      <w:pPr>
        <w:spacing w:before="280" w:after="280" w:line="480" w:lineRule="auto"/>
        <w:ind w:firstLine="720"/>
        <w:jc w:val="both"/>
        <w:rPr>
          <w:rFonts w:ascii="Times New Roman" w:eastAsia="Times New Roman" w:hAnsi="Times New Roman" w:cs="Times New Roman"/>
          <w:color w:val="000000"/>
          <w:sz w:val="24"/>
          <w:szCs w:val="24"/>
        </w:rPr>
      </w:pPr>
      <w:r w:rsidRPr="00F16B11">
        <w:rPr>
          <w:rFonts w:ascii="Times New Roman" w:eastAsia="Times New Roman" w:hAnsi="Times New Roman" w:cs="Times New Roman"/>
          <w:color w:val="000000"/>
          <w:sz w:val="24"/>
          <w:szCs w:val="24"/>
        </w:rPr>
        <w:t xml:space="preserve">A descriptive analysis of demographic, clinical, and laboratory characteristics was conducted according to the allocated group. Categorical variables were described as frequency and percentage, while quantitative variables were expressed as mean and standard deviation (SD) for normal distributions and as median and interquartile range (IQR) for non-normal distributions. The Shapiro-Wilk test was utilized to assess the normality of the data.  </w:t>
      </w:r>
    </w:p>
    <w:p w14:paraId="4CA8B825" w14:textId="77777777" w:rsidR="00B83901" w:rsidRPr="00F16B11" w:rsidRDefault="008D3E27" w:rsidP="00F16B11">
      <w:pPr>
        <w:spacing w:before="280" w:after="280" w:line="480" w:lineRule="auto"/>
        <w:ind w:firstLine="720"/>
        <w:jc w:val="both"/>
        <w:rPr>
          <w:rFonts w:ascii="Times New Roman" w:eastAsia="Times New Roman" w:hAnsi="Times New Roman" w:cs="Times New Roman"/>
          <w:color w:val="000000"/>
          <w:sz w:val="24"/>
          <w:szCs w:val="24"/>
        </w:rPr>
      </w:pPr>
      <w:r w:rsidRPr="00F16B11">
        <w:rPr>
          <w:rFonts w:ascii="Times New Roman" w:eastAsia="Times New Roman" w:hAnsi="Times New Roman" w:cs="Times New Roman"/>
          <w:color w:val="000000"/>
          <w:sz w:val="24"/>
          <w:szCs w:val="24"/>
        </w:rPr>
        <w:t xml:space="preserve">Differences between groups were tested using Student's t-test, Welch's t-test, Mann-Whitney U test, or Fisher's exact test, as appropriate. Furthermore, the correlation between quantitative variables of interest in the total sample (DA + DR) was evaluated using Spearman's correlation test due to the asymmetrical distribution of the data.  </w:t>
      </w:r>
    </w:p>
    <w:p w14:paraId="7FAD4A17" w14:textId="6BFABAD6" w:rsidR="00B83901" w:rsidRPr="00F16B11" w:rsidRDefault="008D3E27" w:rsidP="00F16B11">
      <w:pPr>
        <w:spacing w:before="280" w:after="280" w:line="480" w:lineRule="auto"/>
        <w:ind w:firstLine="720"/>
        <w:jc w:val="both"/>
        <w:rPr>
          <w:rFonts w:ascii="Times New Roman" w:eastAsia="Times New Roman" w:hAnsi="Times New Roman" w:cs="Times New Roman"/>
          <w:color w:val="000000"/>
          <w:sz w:val="24"/>
          <w:szCs w:val="24"/>
        </w:rPr>
      </w:pPr>
      <w:r w:rsidRPr="00F16B11">
        <w:rPr>
          <w:rFonts w:ascii="Times New Roman" w:eastAsia="Times New Roman" w:hAnsi="Times New Roman" w:cs="Times New Roman"/>
          <w:color w:val="000000"/>
          <w:sz w:val="24"/>
          <w:szCs w:val="24"/>
        </w:rPr>
        <w:t>Quantitative variations in 25OHD concentrations and disease</w:t>
      </w:r>
      <w:r w:rsidR="0099691F" w:rsidRPr="00F16B11">
        <w:rPr>
          <w:rFonts w:ascii="Times New Roman" w:eastAsia="Times New Roman" w:hAnsi="Times New Roman" w:cs="Times New Roman"/>
          <w:color w:val="000000"/>
          <w:sz w:val="24"/>
          <w:szCs w:val="24"/>
        </w:rPr>
        <w:t xml:space="preserve"> </w:t>
      </w:r>
      <w:r w:rsidRPr="00F16B11">
        <w:rPr>
          <w:rFonts w:ascii="Times New Roman" w:eastAsia="Times New Roman" w:hAnsi="Times New Roman" w:cs="Times New Roman"/>
          <w:color w:val="000000"/>
          <w:sz w:val="24"/>
          <w:szCs w:val="24"/>
        </w:rPr>
        <w:t xml:space="preserve">activity-related parameters (serum complement fractions C3 and C4, and anti-dsDNA titers) were calculated as delta (Δ = final value - initial value). Potential associations of serum 25OHD variations with disease activity markers were tested against the disease activity markers. </w:t>
      </w:r>
      <w:r w:rsidRPr="00F16B11">
        <w:rPr>
          <w:rFonts w:ascii="Times New Roman" w:eastAsia="Times New Roman" w:hAnsi="Times New Roman" w:cs="Times New Roman"/>
          <w:color w:val="000000"/>
          <w:sz w:val="24"/>
          <w:szCs w:val="24"/>
        </w:rPr>
        <w:lastRenderedPageBreak/>
        <w:t xml:space="preserve">ROC curves were constructed for these variables to assess predictive performance and establish cut-off points based on the Youden index.  </w:t>
      </w:r>
    </w:p>
    <w:p w14:paraId="36004EB7" w14:textId="77777777" w:rsidR="00B83901" w:rsidRPr="00F16B11" w:rsidRDefault="008D3E27" w:rsidP="00F16B11">
      <w:pPr>
        <w:spacing w:before="280" w:after="280" w:line="480" w:lineRule="auto"/>
        <w:ind w:firstLine="720"/>
        <w:jc w:val="both"/>
        <w:rPr>
          <w:rFonts w:ascii="Times New Roman" w:eastAsia="Times New Roman" w:hAnsi="Times New Roman" w:cs="Times New Roman"/>
          <w:color w:val="000000"/>
          <w:sz w:val="24"/>
          <w:szCs w:val="24"/>
        </w:rPr>
      </w:pPr>
      <w:r w:rsidRPr="00F16B11">
        <w:rPr>
          <w:rFonts w:ascii="Times New Roman" w:eastAsia="Times New Roman" w:hAnsi="Times New Roman" w:cs="Times New Roman"/>
          <w:color w:val="000000"/>
          <w:sz w:val="24"/>
          <w:szCs w:val="24"/>
        </w:rPr>
        <w:t>Analyses were performed using R software, version 3.5.2. All tests were two-tailed, and the significance level was set at 0.05.</w:t>
      </w:r>
    </w:p>
    <w:p w14:paraId="42C4208D" w14:textId="77777777" w:rsidR="00B83901" w:rsidRPr="00F16B11" w:rsidRDefault="008D3E27" w:rsidP="00F16B11">
      <w:pPr>
        <w:spacing w:before="280" w:after="280" w:line="480" w:lineRule="auto"/>
        <w:jc w:val="both"/>
        <w:rPr>
          <w:rFonts w:ascii="Times New Roman" w:eastAsia="Times New Roman" w:hAnsi="Times New Roman" w:cs="Times New Roman"/>
          <w:b/>
          <w:sz w:val="24"/>
          <w:szCs w:val="24"/>
        </w:rPr>
      </w:pPr>
      <w:r w:rsidRPr="00F16B11">
        <w:rPr>
          <w:rFonts w:ascii="Times New Roman" w:eastAsia="Times New Roman" w:hAnsi="Times New Roman" w:cs="Times New Roman"/>
          <w:b/>
          <w:color w:val="000000"/>
          <w:sz w:val="24"/>
          <w:szCs w:val="24"/>
        </w:rPr>
        <w:t>Results</w:t>
      </w:r>
    </w:p>
    <w:p w14:paraId="79219477" w14:textId="77777777" w:rsidR="00B83901" w:rsidRPr="00F16B11" w:rsidRDefault="008D3E27" w:rsidP="00F16B11">
      <w:pPr>
        <w:spacing w:before="280" w:after="280" w:line="480" w:lineRule="auto"/>
        <w:ind w:firstLine="720"/>
        <w:jc w:val="both"/>
        <w:rPr>
          <w:rFonts w:ascii="Times New Roman" w:eastAsia="Times New Roman" w:hAnsi="Times New Roman" w:cs="Times New Roman"/>
          <w:color w:val="000000"/>
          <w:sz w:val="24"/>
          <w:szCs w:val="24"/>
        </w:rPr>
      </w:pPr>
      <w:r w:rsidRPr="00F16B11">
        <w:rPr>
          <w:rFonts w:ascii="Times New Roman" w:eastAsia="Times New Roman" w:hAnsi="Times New Roman" w:cs="Times New Roman"/>
          <w:color w:val="000000"/>
          <w:sz w:val="24"/>
          <w:szCs w:val="24"/>
        </w:rPr>
        <w:t>A total of 40 patients with SLE were enrolled in the study (HD group, n=20; RD group, n=20). All participants completed the 24-week follow-up, except for one patient who was admitted to the Intensive Care Unit due to a pulmonary tuberculosis infection and passed away in the fifth month of follow-up. Since clinical and laboratory data (including 25OHD concentrations) could not be obtained at the time of censoring following the patient's death, this individual was excluded from the analysis. Consequently, 39 patients with SLE were considered eligible for the final analysis (Figure 1).</w:t>
      </w:r>
    </w:p>
    <w:p w14:paraId="184991DE" w14:textId="77777777" w:rsidR="00B83901" w:rsidRPr="00F16B11" w:rsidRDefault="008D3E27" w:rsidP="00F16B11">
      <w:pPr>
        <w:spacing w:before="280" w:after="280" w:line="480" w:lineRule="auto"/>
        <w:jc w:val="both"/>
        <w:rPr>
          <w:rFonts w:ascii="Times New Roman" w:eastAsia="Times New Roman" w:hAnsi="Times New Roman" w:cs="Times New Roman"/>
          <w:color w:val="000000"/>
          <w:sz w:val="24"/>
          <w:szCs w:val="24"/>
        </w:rPr>
      </w:pPr>
      <w:r w:rsidRPr="00F16B11">
        <w:rPr>
          <w:rFonts w:ascii="Times New Roman" w:eastAsia="Times New Roman" w:hAnsi="Times New Roman" w:cs="Times New Roman"/>
          <w:color w:val="000000"/>
          <w:sz w:val="24"/>
          <w:szCs w:val="24"/>
        </w:rPr>
        <w:tab/>
        <w:t>Table 1 presents a summary of the clinical and laboratory characteristics of each group at baseline. The high-dose (HD) and routine-dose (RD) groups were comparable in terms of age, sex distribution, race, and disease duration. Furthermore, the mean SLEDAI-2K scores were elevated, measuring 19 (14 – 22.4) in the HD group and 14.5 (11.8 – 21) in the RD group (p = 0.23). Both groups demonstrated a low damage index, with a SLICC/ACR Damage Index (SDI) of less than 1 for each group (p = 0.59).</w:t>
      </w:r>
    </w:p>
    <w:p w14:paraId="1E28AB95" w14:textId="77777777" w:rsidR="00B83901" w:rsidRPr="00F16B11" w:rsidRDefault="008D3E27" w:rsidP="00F16B11">
      <w:pPr>
        <w:spacing w:before="280" w:after="280" w:line="480" w:lineRule="auto"/>
        <w:ind w:firstLine="720"/>
        <w:jc w:val="both"/>
        <w:rPr>
          <w:rFonts w:ascii="Times New Roman" w:eastAsia="Times New Roman" w:hAnsi="Times New Roman" w:cs="Times New Roman"/>
          <w:color w:val="000000"/>
          <w:sz w:val="24"/>
          <w:szCs w:val="24"/>
        </w:rPr>
      </w:pPr>
      <w:r w:rsidRPr="00F16B11">
        <w:rPr>
          <w:rFonts w:ascii="Times New Roman" w:eastAsia="Times New Roman" w:hAnsi="Times New Roman" w:cs="Times New Roman"/>
          <w:color w:val="000000"/>
          <w:sz w:val="24"/>
          <w:szCs w:val="24"/>
        </w:rPr>
        <w:t xml:space="preserve">Regarding the treatment of SLE, the mean daily dose of oral prednisone at the beginning of the study (prior to pulse therapy) was comparable between the groups (Table </w:t>
      </w:r>
      <w:r w:rsidRPr="00F16B11">
        <w:rPr>
          <w:rFonts w:ascii="Times New Roman" w:eastAsia="Times New Roman" w:hAnsi="Times New Roman" w:cs="Times New Roman"/>
          <w:sz w:val="24"/>
          <w:szCs w:val="24"/>
        </w:rPr>
        <w:t>2</w:t>
      </w:r>
      <w:r w:rsidRPr="00F16B11">
        <w:rPr>
          <w:rFonts w:ascii="Times New Roman" w:eastAsia="Times New Roman" w:hAnsi="Times New Roman" w:cs="Times New Roman"/>
          <w:color w:val="000000"/>
          <w:sz w:val="24"/>
          <w:szCs w:val="24"/>
        </w:rPr>
        <w:t xml:space="preserve">). All patients underwent pulse therapy with methylprednisolone, receiving a mean cumulative dose of 2,947.4 ± 1,892.2 mg in the HD group and 2,700 ± 1,163 mg in the </w:t>
      </w:r>
      <w:r w:rsidRPr="00F16B11">
        <w:rPr>
          <w:rFonts w:ascii="Times New Roman" w:eastAsia="Times New Roman" w:hAnsi="Times New Roman" w:cs="Times New Roman"/>
          <w:color w:val="000000"/>
          <w:sz w:val="24"/>
          <w:szCs w:val="24"/>
        </w:rPr>
        <w:lastRenderedPageBreak/>
        <w:t xml:space="preserve">RD group (p = 0.63). The immunosuppressants utilized at that time included hydroxychloroquine (71%), mycophenolate mofetil (38.5%), azathioprine (10.3%), cyclophosphamide (10.3%), and methotrexate (2.6%). Furthermore, the mean serum concentrations of 25OHD, calcium, parathyroid hormone (PTH), and urinary calcium were similar between the groups (Table </w:t>
      </w:r>
      <w:r w:rsidRPr="00F16B11">
        <w:rPr>
          <w:rFonts w:ascii="Times New Roman" w:eastAsia="Times New Roman" w:hAnsi="Times New Roman" w:cs="Times New Roman"/>
          <w:sz w:val="24"/>
          <w:szCs w:val="24"/>
        </w:rPr>
        <w:t>1</w:t>
      </w:r>
      <w:r w:rsidRPr="00F16B11">
        <w:rPr>
          <w:rFonts w:ascii="Times New Roman" w:eastAsia="Times New Roman" w:hAnsi="Times New Roman" w:cs="Times New Roman"/>
          <w:color w:val="000000"/>
          <w:sz w:val="24"/>
          <w:szCs w:val="24"/>
        </w:rPr>
        <w:t>).</w:t>
      </w:r>
    </w:p>
    <w:p w14:paraId="194B4388" w14:textId="77777777" w:rsidR="00B83901" w:rsidRPr="00F16B11" w:rsidRDefault="008D3E27" w:rsidP="00F16B11">
      <w:pPr>
        <w:spacing w:before="280" w:after="280" w:line="480" w:lineRule="auto"/>
        <w:ind w:firstLine="720"/>
        <w:jc w:val="both"/>
        <w:rPr>
          <w:rFonts w:ascii="Times New Roman" w:eastAsia="Times New Roman" w:hAnsi="Times New Roman" w:cs="Times New Roman"/>
          <w:color w:val="000000"/>
          <w:sz w:val="24"/>
          <w:szCs w:val="24"/>
        </w:rPr>
      </w:pPr>
      <w:r w:rsidRPr="00F16B11">
        <w:rPr>
          <w:rFonts w:ascii="Times New Roman" w:eastAsia="Times New Roman" w:hAnsi="Times New Roman" w:cs="Times New Roman"/>
          <w:color w:val="000000"/>
          <w:sz w:val="24"/>
          <w:szCs w:val="24"/>
        </w:rPr>
        <w:t xml:space="preserve">At the end of the study (after 24 weeks of follow-up), patients randomized to the HD group exhibited significantly higher mean concentrations of 25OHD compared to the RD group (43.5 ± 17.4 ng/mL vs. 27.7 ± 9.0 ng/mL, respectively; p &lt; 0.001). Furthermore, the difference between the final and baseline values of 25OHD (Δ25OHD) was also significantly greater in the HD group [15.4 (6.5-31) vs. 7.9 (3-14.9) ng/mL; p = 0.02]. There was a trend towards a greater increase in C4 (ΔC4) in the HD group compared to the RD (mean = 7.4 ± 7.6 vs. 3.3 ± 7.3, respectively; p = 0.09), although this difference did not reach statistical significance (Table </w:t>
      </w:r>
      <w:r w:rsidRPr="00F16B11">
        <w:rPr>
          <w:rFonts w:ascii="Times New Roman" w:eastAsia="Times New Roman" w:hAnsi="Times New Roman" w:cs="Times New Roman"/>
          <w:sz w:val="24"/>
          <w:szCs w:val="24"/>
        </w:rPr>
        <w:t>2</w:t>
      </w:r>
      <w:r w:rsidRPr="00F16B11">
        <w:rPr>
          <w:rFonts w:ascii="Times New Roman" w:eastAsia="Times New Roman" w:hAnsi="Times New Roman" w:cs="Times New Roman"/>
          <w:color w:val="000000"/>
          <w:sz w:val="24"/>
          <w:szCs w:val="24"/>
        </w:rPr>
        <w:t xml:space="preserve">). </w:t>
      </w:r>
    </w:p>
    <w:p w14:paraId="05A64B7C" w14:textId="77777777" w:rsidR="00B83901" w:rsidRPr="00F16B11" w:rsidRDefault="008D3E27" w:rsidP="00F16B11">
      <w:pPr>
        <w:spacing w:before="280" w:after="280" w:line="480" w:lineRule="auto"/>
        <w:ind w:firstLine="720"/>
        <w:jc w:val="both"/>
        <w:rPr>
          <w:rFonts w:ascii="Times New Roman" w:eastAsia="Times New Roman" w:hAnsi="Times New Roman" w:cs="Times New Roman"/>
          <w:color w:val="000000"/>
          <w:sz w:val="24"/>
          <w:szCs w:val="24"/>
        </w:rPr>
      </w:pPr>
      <w:r w:rsidRPr="00F16B11">
        <w:rPr>
          <w:rFonts w:ascii="Times New Roman" w:eastAsia="Times New Roman" w:hAnsi="Times New Roman" w:cs="Times New Roman"/>
          <w:color w:val="000000"/>
          <w:sz w:val="24"/>
          <w:szCs w:val="24"/>
        </w:rPr>
        <w:t>After 24 weeks of follow-up, all patients continued to receive oral prednisone. The cumulative dose of glucocorticoids at the end of the follow-up was similar between the groups, as was the mean daily dose of oral prednisone (Table 2). Table 3 compares the immunosuppressants used at baseline and at the end of the study, showing no significant differences in the frequency of medication use between the groups.</w:t>
      </w:r>
    </w:p>
    <w:p w14:paraId="428C20E6" w14:textId="77777777" w:rsidR="00B83901" w:rsidRPr="00F16B11" w:rsidRDefault="008D3E27" w:rsidP="00F16B11">
      <w:pPr>
        <w:spacing w:before="280" w:after="280" w:line="480" w:lineRule="auto"/>
        <w:ind w:firstLine="720"/>
        <w:jc w:val="both"/>
        <w:rPr>
          <w:rFonts w:ascii="Times New Roman" w:eastAsia="Times New Roman" w:hAnsi="Times New Roman" w:cs="Times New Roman"/>
          <w:color w:val="000000"/>
          <w:sz w:val="24"/>
          <w:szCs w:val="24"/>
        </w:rPr>
      </w:pPr>
      <w:r w:rsidRPr="00F16B11">
        <w:rPr>
          <w:rFonts w:ascii="Times New Roman" w:eastAsia="Times New Roman" w:hAnsi="Times New Roman" w:cs="Times New Roman"/>
          <w:color w:val="000000"/>
          <w:sz w:val="24"/>
          <w:szCs w:val="24"/>
        </w:rPr>
        <w:t>Analysis of the entire cohort revealed a positive correlation between the increase in serum vitamin D concentrations (Δ25OHD) and the rise in serum complement components, with ΔC3 showing a rho of +0.48 (p = 0.001) and ΔC4</w:t>
      </w:r>
      <w:r w:rsidRPr="00F16B11">
        <w:rPr>
          <w:rFonts w:ascii="Times New Roman" w:eastAsia="Times New Roman" w:hAnsi="Times New Roman" w:cs="Times New Roman"/>
          <w:sz w:val="24"/>
          <w:szCs w:val="24"/>
        </w:rPr>
        <w:t xml:space="preserve"> a</w:t>
      </w:r>
      <w:r w:rsidRPr="00F16B11">
        <w:rPr>
          <w:rFonts w:ascii="Times New Roman" w:eastAsia="Times New Roman" w:hAnsi="Times New Roman" w:cs="Times New Roman"/>
          <w:color w:val="000000"/>
          <w:sz w:val="24"/>
          <w:szCs w:val="24"/>
        </w:rPr>
        <w:t xml:space="preserve"> rho of +0.35 (p = 0.025). Conversely, a negative correlation was observed between Δ25OHD and Δanti-dsDNA (rho = -0.35, p = 0.026). Thus, a greater increase in 25OHD concentrations was </w:t>
      </w:r>
      <w:r w:rsidRPr="00F16B11">
        <w:rPr>
          <w:rFonts w:ascii="Times New Roman" w:eastAsia="Times New Roman" w:hAnsi="Times New Roman" w:cs="Times New Roman"/>
          <w:color w:val="000000"/>
          <w:sz w:val="24"/>
          <w:szCs w:val="24"/>
        </w:rPr>
        <w:lastRenderedPageBreak/>
        <w:t>associated with more pronounced elevations in C3 and C4 levels, as well as a greater reduction in anti-dsDNA titers.</w:t>
      </w:r>
    </w:p>
    <w:p w14:paraId="14D6EE79" w14:textId="77777777" w:rsidR="00B83901" w:rsidRPr="00F16B11" w:rsidRDefault="008D3E27" w:rsidP="00F16B11">
      <w:pPr>
        <w:spacing w:before="280" w:after="280" w:line="480" w:lineRule="auto"/>
        <w:ind w:firstLine="720"/>
        <w:jc w:val="both"/>
        <w:rPr>
          <w:rFonts w:ascii="Times New Roman" w:eastAsia="Times New Roman" w:hAnsi="Times New Roman" w:cs="Times New Roman"/>
          <w:color w:val="000000"/>
          <w:sz w:val="24"/>
          <w:szCs w:val="24"/>
        </w:rPr>
      </w:pPr>
      <w:r w:rsidRPr="00F16B11">
        <w:rPr>
          <w:rFonts w:ascii="Times New Roman" w:eastAsia="Times New Roman" w:hAnsi="Times New Roman" w:cs="Times New Roman"/>
          <w:color w:val="000000"/>
          <w:sz w:val="24"/>
          <w:szCs w:val="24"/>
        </w:rPr>
        <w:t>A receiver operating characteristic (ROC) curve was constructed to assess the performance of Δ25OHD in predicting the normalization of C3 and C4 components (Figures 2 and 3, respectively). Patients were classified according to their C3 and C4 status, depending on whether complement levels were normal or decreased. The ROC curve for Δ25OHD values in predicting normal C3 levels at the end of follow-up generated an area under the curve (AUC) of 0.741 (95% CI: 0.561-0.922). A similar analysis for C4 resulted in an AUC of 0.756 (95% CI: 0.585-0.928). Based on the Youden index, the estimated cutoff values for Δ25OHD in predicting the normalization of C3 and C4 were 12.9 ng/mL and 11.7 ng/mL, respectively. Therefore, an increase in 25OHD concentrations above these thresholds was associated with a higher likelihood of achieving normal C3 and C4 levels.</w:t>
      </w:r>
    </w:p>
    <w:p w14:paraId="6BC3D591" w14:textId="21C0673C" w:rsidR="00B83901" w:rsidRPr="00F16B11" w:rsidRDefault="008D3E27" w:rsidP="00F16B11">
      <w:pPr>
        <w:spacing w:before="280" w:after="280" w:line="480" w:lineRule="auto"/>
        <w:ind w:firstLine="720"/>
        <w:jc w:val="both"/>
        <w:rPr>
          <w:rFonts w:ascii="Times New Roman" w:eastAsia="Times New Roman" w:hAnsi="Times New Roman" w:cs="Times New Roman"/>
          <w:color w:val="000000"/>
          <w:sz w:val="24"/>
          <w:szCs w:val="24"/>
        </w:rPr>
      </w:pPr>
      <w:r w:rsidRPr="00F16B11">
        <w:rPr>
          <w:rFonts w:ascii="Times New Roman" w:eastAsia="Times New Roman" w:hAnsi="Times New Roman" w:cs="Times New Roman"/>
          <w:color w:val="000000"/>
          <w:sz w:val="24"/>
          <w:szCs w:val="24"/>
        </w:rPr>
        <w:t>Vitamin D supplementation was well tolerated in both groups, with adherence rates exceeding 80%. Notably, 100% adherence was observed in 14 patients from each group (73.6% in the HD group and 70% in the RD group, p = 0.79). No adverse events were reported in either group during the follow-up period, including hypercalcemia, hypercalciuria, nephrolithiasis, or increased serum creatinine levels. However, one patient in the HD group passed away in the fifth month of follow-up due to severe pulmonary tuberculosis.</w:t>
      </w:r>
    </w:p>
    <w:p w14:paraId="390CA843" w14:textId="7CA9AC34" w:rsidR="00B83901" w:rsidRPr="00F16B11" w:rsidRDefault="008D3E27" w:rsidP="00F16B11">
      <w:pPr>
        <w:spacing w:before="280" w:after="280" w:line="480" w:lineRule="auto"/>
        <w:jc w:val="both"/>
        <w:rPr>
          <w:rFonts w:ascii="Times New Roman" w:eastAsia="Times New Roman" w:hAnsi="Times New Roman" w:cs="Times New Roman"/>
          <w:b/>
          <w:sz w:val="24"/>
          <w:szCs w:val="24"/>
        </w:rPr>
      </w:pPr>
      <w:r w:rsidRPr="00F16B11">
        <w:rPr>
          <w:rFonts w:ascii="Times New Roman" w:eastAsia="Times New Roman" w:hAnsi="Times New Roman" w:cs="Times New Roman"/>
          <w:b/>
          <w:color w:val="000000"/>
          <w:sz w:val="24"/>
          <w:szCs w:val="24"/>
        </w:rPr>
        <w:t>Discussion</w:t>
      </w:r>
    </w:p>
    <w:p w14:paraId="359FF6BF" w14:textId="77777777" w:rsidR="00B83901" w:rsidRPr="00F16B11" w:rsidRDefault="008D3E27" w:rsidP="00F16B11">
      <w:pPr>
        <w:spacing w:before="280" w:after="280" w:line="480" w:lineRule="auto"/>
        <w:ind w:firstLine="720"/>
        <w:jc w:val="both"/>
        <w:rPr>
          <w:rFonts w:ascii="Times New Roman" w:eastAsia="Times New Roman" w:hAnsi="Times New Roman" w:cs="Times New Roman"/>
          <w:color w:val="000000"/>
          <w:sz w:val="24"/>
          <w:szCs w:val="24"/>
        </w:rPr>
      </w:pPr>
      <w:r w:rsidRPr="00F16B11">
        <w:rPr>
          <w:rFonts w:ascii="Times New Roman" w:eastAsia="Times New Roman" w:hAnsi="Times New Roman" w:cs="Times New Roman"/>
          <w:color w:val="000000"/>
          <w:sz w:val="24"/>
          <w:szCs w:val="24"/>
        </w:rPr>
        <w:t xml:space="preserve">To the best of our know, this is the first double-blind, placebo-controlled randomized clinical trial comparing the effect of high-dose vitamin D3 supplementation </w:t>
      </w:r>
      <w:r w:rsidRPr="00F16B11">
        <w:rPr>
          <w:rFonts w:ascii="Times New Roman" w:eastAsia="Times New Roman" w:hAnsi="Times New Roman" w:cs="Times New Roman"/>
          <w:color w:val="000000"/>
          <w:sz w:val="24"/>
          <w:szCs w:val="24"/>
        </w:rPr>
        <w:lastRenderedPageBreak/>
        <w:t>with low-dose supplementation in patients with severe SLE undergoing high-dose glucocorticoid treatment (intravenous pulse therapy with methylprednisolone). The increase in serum vitamin D concentrations was associated with a reduction in anti-dsDNA antibody titers and improvement in serum complement levels (C3 and C4), regardless of the immunosuppressive regimen or the dosage of vitamin D3 used. However, a trend towards a greater increase in C4 levels was observed in the group receiving the higher dose of cholecalciferol. Furthermore, the administration of high doses (up to 100,000 IU weekly of oral cholecalciferol) was shown to be safe over six months of supplementation.</w:t>
      </w:r>
    </w:p>
    <w:p w14:paraId="54C9C026" w14:textId="77777777" w:rsidR="00B83901" w:rsidRPr="00F16B11" w:rsidRDefault="008D3E27" w:rsidP="00F16B11">
      <w:pPr>
        <w:spacing w:before="280" w:after="280" w:line="480" w:lineRule="auto"/>
        <w:ind w:firstLine="720"/>
        <w:jc w:val="both"/>
        <w:rPr>
          <w:rFonts w:ascii="Times New Roman" w:eastAsia="Times New Roman" w:hAnsi="Times New Roman" w:cs="Times New Roman"/>
          <w:color w:val="000000"/>
          <w:sz w:val="24"/>
          <w:szCs w:val="24"/>
        </w:rPr>
      </w:pPr>
      <w:r w:rsidRPr="00F16B11">
        <w:rPr>
          <w:rFonts w:ascii="Times New Roman" w:eastAsia="Times New Roman" w:hAnsi="Times New Roman" w:cs="Times New Roman"/>
          <w:color w:val="000000"/>
          <w:sz w:val="24"/>
          <w:szCs w:val="24"/>
        </w:rPr>
        <w:t>Vitamin D deficiency is often observed in patients with SLE, with prevalence data varying between 16% and 95% in different populations [5,6,8,12,13]. In our study, 80% of patients with active severe SLE had insufficient 25OHD values (&lt;30 ng/dL).</w:t>
      </w:r>
    </w:p>
    <w:p w14:paraId="5ADD4593" w14:textId="77777777" w:rsidR="00B83901" w:rsidRPr="00F16B11" w:rsidRDefault="008D3E27" w:rsidP="00F16B11">
      <w:pPr>
        <w:spacing w:before="280" w:after="280" w:line="480" w:lineRule="auto"/>
        <w:ind w:firstLine="720"/>
        <w:jc w:val="both"/>
        <w:rPr>
          <w:rFonts w:ascii="Times New Roman" w:eastAsia="Times New Roman" w:hAnsi="Times New Roman" w:cs="Times New Roman"/>
          <w:color w:val="000000"/>
          <w:sz w:val="24"/>
          <w:szCs w:val="24"/>
        </w:rPr>
      </w:pPr>
      <w:r w:rsidRPr="00F16B11">
        <w:rPr>
          <w:rFonts w:ascii="Times New Roman" w:eastAsia="Times New Roman" w:hAnsi="Times New Roman" w:cs="Times New Roman"/>
          <w:color w:val="000000"/>
          <w:sz w:val="24"/>
          <w:szCs w:val="24"/>
        </w:rPr>
        <w:t>Several factors may influence vitamin D status in SLE, affecting its metabolism or negatively regulating receptor function. These include disease activity, renal involvement, hormonal status, photoprotection, and the use of medications such as glucocorticoids, anticonvulsants, antimalarials, and calcineurin inhibitors [31,32].</w:t>
      </w:r>
    </w:p>
    <w:p w14:paraId="75C2F516" w14:textId="77777777" w:rsidR="00B83901" w:rsidRPr="00F16B11" w:rsidRDefault="008D3E27" w:rsidP="00F16B11">
      <w:pPr>
        <w:spacing w:before="280" w:after="280" w:line="480" w:lineRule="auto"/>
        <w:ind w:firstLine="720"/>
        <w:jc w:val="both"/>
        <w:rPr>
          <w:rFonts w:ascii="Times New Roman" w:eastAsia="Times New Roman" w:hAnsi="Times New Roman" w:cs="Times New Roman"/>
          <w:color w:val="000000"/>
          <w:sz w:val="24"/>
          <w:szCs w:val="24"/>
        </w:rPr>
      </w:pPr>
      <w:r w:rsidRPr="00F16B11">
        <w:rPr>
          <w:rFonts w:ascii="Times New Roman" w:eastAsia="Times New Roman" w:hAnsi="Times New Roman" w:cs="Times New Roman"/>
          <w:color w:val="000000"/>
          <w:sz w:val="24"/>
          <w:szCs w:val="24"/>
        </w:rPr>
        <w:t xml:space="preserve">A previous Brazilian study revealed that patients with high disease activity had significantly lower 25OHD and 1,25(OH)2D concentrations compared to those with mild activity and to controls [5]. In a cohort of Chinese patients, vitamin D deficiency was associated with higher disease activity at both the study's onset and during follow-up, as well as being linked to more severe flares [33]. A study by Mok C. C. et al. [8] identified an inverse correlation between 25OHD concentrations and clinical SLE activity, as well as with anti-C1q and anti-dsDNA titers; however, contrary to our findings, no association was found with serum complement levels. In that study, vitamin D deficiency </w:t>
      </w:r>
      <w:r w:rsidRPr="00F16B11">
        <w:rPr>
          <w:rFonts w:ascii="Times New Roman" w:eastAsia="Times New Roman" w:hAnsi="Times New Roman" w:cs="Times New Roman"/>
          <w:color w:val="000000"/>
          <w:sz w:val="24"/>
          <w:szCs w:val="24"/>
        </w:rPr>
        <w:lastRenderedPageBreak/>
        <w:t xml:space="preserve">demonstrated specificity comparable to anti-C1q, although it was less sensitive than anti-dsDNA for detecting clinical activity, both renal and </w:t>
      </w:r>
      <w:r w:rsidRPr="00F16B11">
        <w:rPr>
          <w:rFonts w:ascii="Times New Roman" w:eastAsia="Times New Roman" w:hAnsi="Times New Roman" w:cs="Times New Roman"/>
          <w:sz w:val="24"/>
          <w:szCs w:val="24"/>
        </w:rPr>
        <w:t>extrarenal</w:t>
      </w:r>
      <w:r w:rsidRPr="00F16B11">
        <w:rPr>
          <w:rFonts w:ascii="Times New Roman" w:eastAsia="Times New Roman" w:hAnsi="Times New Roman" w:cs="Times New Roman"/>
          <w:color w:val="000000"/>
          <w:sz w:val="24"/>
          <w:szCs w:val="24"/>
        </w:rPr>
        <w:t>. Additionally, Casella et al. [9] reported association between vitamin D deficiency and both low C4 levels and high anti-DNA titers.</w:t>
      </w:r>
    </w:p>
    <w:p w14:paraId="53414148" w14:textId="77777777" w:rsidR="00B83901" w:rsidRPr="00F16B11" w:rsidRDefault="008D3E27" w:rsidP="00F16B11">
      <w:pPr>
        <w:spacing w:before="280" w:after="280" w:line="480" w:lineRule="auto"/>
        <w:ind w:firstLine="720"/>
        <w:jc w:val="both"/>
        <w:rPr>
          <w:rFonts w:ascii="Times New Roman" w:eastAsia="Times New Roman" w:hAnsi="Times New Roman" w:cs="Times New Roman"/>
          <w:color w:val="000000"/>
          <w:sz w:val="24"/>
          <w:szCs w:val="24"/>
        </w:rPr>
      </w:pPr>
      <w:r w:rsidRPr="00F16B11">
        <w:rPr>
          <w:rFonts w:ascii="Times New Roman" w:eastAsia="Times New Roman" w:hAnsi="Times New Roman" w:cs="Times New Roman"/>
          <w:color w:val="000000"/>
          <w:sz w:val="24"/>
          <w:szCs w:val="24"/>
        </w:rPr>
        <w:t xml:space="preserve">Conversely, some studies did not find an association between vitamin D deficiency and SLE activity. For instance, a previous Brazilian cross-sectional study found that 37.7% of SLE patients had vitamin D insufficiency, yet no link was observed between 25OHD levels and disease activity; importantly, this cohort included patients with low activity (SLEDAI = 2) [14]. Similarly, studies by Toloza et al. [12] </w:t>
      </w:r>
      <w:r w:rsidRPr="00F16B11">
        <w:rPr>
          <w:rFonts w:ascii="Times New Roman" w:eastAsia="Times New Roman" w:hAnsi="Times New Roman" w:cs="Times New Roman"/>
          <w:sz w:val="24"/>
          <w:szCs w:val="24"/>
        </w:rPr>
        <w:t>and</w:t>
      </w:r>
      <w:r w:rsidRPr="00F16B11">
        <w:rPr>
          <w:rFonts w:ascii="Times New Roman" w:eastAsia="Times New Roman" w:hAnsi="Times New Roman" w:cs="Times New Roman"/>
          <w:color w:val="000000"/>
          <w:sz w:val="24"/>
          <w:szCs w:val="24"/>
        </w:rPr>
        <w:t xml:space="preserve"> Kim et al. [13]</w:t>
      </w:r>
      <w:r w:rsidRPr="00F16B11">
        <w:rPr>
          <w:rFonts w:ascii="Times New Roman" w:eastAsia="Times New Roman" w:hAnsi="Times New Roman" w:cs="Times New Roman"/>
          <w:sz w:val="24"/>
          <w:szCs w:val="24"/>
        </w:rPr>
        <w:t xml:space="preserve"> </w:t>
      </w:r>
      <w:r w:rsidRPr="00F16B11">
        <w:rPr>
          <w:rFonts w:ascii="Times New Roman" w:eastAsia="Times New Roman" w:hAnsi="Times New Roman" w:cs="Times New Roman"/>
          <w:color w:val="000000"/>
          <w:sz w:val="24"/>
          <w:szCs w:val="24"/>
        </w:rPr>
        <w:t>did not demonstrate an association between vitamin D deficiency and SLE activity.</w:t>
      </w:r>
    </w:p>
    <w:p w14:paraId="09723D67" w14:textId="77777777" w:rsidR="00B83901" w:rsidRPr="00F16B11" w:rsidRDefault="008D3E27" w:rsidP="00F16B11">
      <w:pPr>
        <w:spacing w:before="280" w:after="280" w:line="480" w:lineRule="auto"/>
        <w:ind w:firstLine="720"/>
        <w:jc w:val="both"/>
        <w:rPr>
          <w:rFonts w:ascii="Times New Roman" w:eastAsia="Times New Roman" w:hAnsi="Times New Roman" w:cs="Times New Roman"/>
          <w:color w:val="000000"/>
          <w:sz w:val="24"/>
          <w:szCs w:val="24"/>
        </w:rPr>
      </w:pPr>
      <w:r w:rsidRPr="00F16B11">
        <w:rPr>
          <w:rFonts w:ascii="Times New Roman" w:eastAsia="Times New Roman" w:hAnsi="Times New Roman" w:cs="Times New Roman"/>
          <w:color w:val="000000"/>
          <w:sz w:val="24"/>
          <w:szCs w:val="24"/>
        </w:rPr>
        <w:t>Regarding vitamin D supplementation, a few studies have assessed its effects in patients with immune-mediated rheumatologic diseases, with conflicting results [34,35]. In SLE, a study from our group [4] demonstrated that weekly oral cholecalciferol supplementation at 50,000 IU for 24 weeks improved laboratory parameters of disease activity (median SLEDAI at baseline = 4) and significantly reduced fatigue in juvenile-onset SLE patients. Another clinical trial involving 39 SLE patients (SLEDAI &gt; 5) showed that cholecalciferol supplementation (1,200 IU daily for 3 months) significantly decreased disease activity, with a mean SLEDAI score decrease of 6.5 ± 2.2 points [36]. In a prospective cohort study of SLE patients with renal involvement, Petri M. et al. [16] reported that a 20 ng/mL rise in serum vitamin D was associated with a 21% reduction in the odds of high disease activity (SLEDAI &gt; 5) and a 15% reduction in significant proteinuria (urine protein/creatinine ratio &gt; 0.5).</w:t>
      </w:r>
    </w:p>
    <w:p w14:paraId="7EAA4E83" w14:textId="77777777" w:rsidR="00B83901" w:rsidRPr="00F16B11" w:rsidRDefault="008D3E27" w:rsidP="00F16B11">
      <w:pPr>
        <w:spacing w:before="280" w:after="280" w:line="480" w:lineRule="auto"/>
        <w:ind w:firstLine="720"/>
        <w:jc w:val="both"/>
        <w:rPr>
          <w:rFonts w:ascii="Times New Roman" w:eastAsia="Times New Roman" w:hAnsi="Times New Roman" w:cs="Times New Roman"/>
          <w:color w:val="000000"/>
          <w:sz w:val="24"/>
          <w:szCs w:val="24"/>
        </w:rPr>
      </w:pPr>
      <w:r w:rsidRPr="00F16B11">
        <w:rPr>
          <w:rFonts w:ascii="Times New Roman" w:eastAsia="Times New Roman" w:hAnsi="Times New Roman" w:cs="Times New Roman"/>
          <w:color w:val="000000"/>
          <w:sz w:val="24"/>
          <w:szCs w:val="24"/>
        </w:rPr>
        <w:lastRenderedPageBreak/>
        <w:t>Supporting our findings, high-dose vitamin D supplementation (100,000 IU of cholecalciferol weekly for 4 weeks, followed by monthly doses for 6 months) in 20 SLE patients increased naïve CD4+ T cells and regulatory T cells, reduced effector Th1 and Th17 cells, memory B cells, and anti-DNA antibody titers. However, unlike our study, these patients exhibited lower disease activity (SLEDAI &lt; 8) [18]. Conversely, Aranow C. et al. [17] found no differences in disease activity in stable, inactive SLE patients after 12 weeks of supplementation, comparing low (2,000 IU/day), high (4,000 IU/day), and placebo groups.</w:t>
      </w:r>
    </w:p>
    <w:p w14:paraId="6692FD56" w14:textId="77777777" w:rsidR="00B83901" w:rsidRPr="00F16B11" w:rsidRDefault="008D3E27" w:rsidP="00F16B11">
      <w:pPr>
        <w:spacing w:before="280" w:after="280" w:line="480" w:lineRule="auto"/>
        <w:ind w:firstLine="720"/>
        <w:jc w:val="both"/>
        <w:rPr>
          <w:rFonts w:ascii="Times New Roman" w:eastAsia="Times New Roman" w:hAnsi="Times New Roman" w:cs="Times New Roman"/>
          <w:color w:val="000000"/>
          <w:sz w:val="24"/>
          <w:szCs w:val="24"/>
        </w:rPr>
      </w:pPr>
      <w:r w:rsidRPr="00F16B11">
        <w:rPr>
          <w:rFonts w:ascii="Times New Roman" w:eastAsia="Times New Roman" w:hAnsi="Times New Roman" w:cs="Times New Roman"/>
          <w:color w:val="000000"/>
          <w:sz w:val="24"/>
          <w:szCs w:val="24"/>
        </w:rPr>
        <w:t>In the present study, no significant differences in laboratory outcomes of disease activity were observed across different cholecalciferol dosing regimens; however, a trend toward greater C4 level increases was noted in the higher-dose group. Thus, supplementation may offer more pronounced benefits in patients with more active disease. Furthermore,</w:t>
      </w:r>
      <w:r w:rsidRPr="00F16B11">
        <w:rPr>
          <w:rFonts w:ascii="Times New Roman" w:eastAsia="Times New Roman" w:hAnsi="Times New Roman" w:cs="Times New Roman"/>
          <w:sz w:val="24"/>
          <w:szCs w:val="24"/>
        </w:rPr>
        <w:t xml:space="preserve"> the use of high doses may provide additional benefits in reducing disease activity, especially in cases of severe activity or those on very high doses of glucocorticoids.</w:t>
      </w:r>
    </w:p>
    <w:p w14:paraId="300DAEED" w14:textId="77777777" w:rsidR="00B83901" w:rsidRPr="00F16B11" w:rsidRDefault="008D3E27" w:rsidP="00F16B11">
      <w:pPr>
        <w:spacing w:before="280" w:after="280" w:line="480" w:lineRule="auto"/>
        <w:ind w:firstLine="720"/>
        <w:jc w:val="both"/>
        <w:rPr>
          <w:rFonts w:ascii="Times New Roman" w:eastAsia="Times New Roman" w:hAnsi="Times New Roman" w:cs="Times New Roman"/>
          <w:color w:val="000000"/>
          <w:sz w:val="24"/>
          <w:szCs w:val="24"/>
        </w:rPr>
      </w:pPr>
      <w:r w:rsidRPr="00F16B11">
        <w:rPr>
          <w:rFonts w:ascii="Times New Roman" w:eastAsia="Times New Roman" w:hAnsi="Times New Roman" w:cs="Times New Roman"/>
          <w:color w:val="000000"/>
          <w:sz w:val="24"/>
          <w:szCs w:val="24"/>
        </w:rPr>
        <w:t>Additionally, in the study by Lima et al., about 30% of patients with juvenile lupus maintained insufficient or deficient 25OHD levels even after six months of supplementation, despite good adherence to treatment [4]. These data reflect the complexity of correcting vitamin D hypovitaminosis in patients with SLE, particularly in pediatric populations, who may exhibit resistance to normalizing serum 25OHD concentrations. Recent studies have demonstrated the effectiveness of more intensive vitamin D supplementation regimens, particularly for patients with more severe forms of disease, where vitamin D deficiency is exacerbated by chronic inflammation and prolonged glucocorticoid use, both of which interfere with vitamin metabolism [37</w:t>
      </w:r>
      <w:r w:rsidRPr="00F16B11">
        <w:rPr>
          <w:rFonts w:ascii="Times New Roman" w:eastAsia="Times New Roman" w:hAnsi="Times New Roman" w:cs="Times New Roman"/>
          <w:sz w:val="24"/>
          <w:szCs w:val="24"/>
        </w:rPr>
        <w:t>,38]</w:t>
      </w:r>
      <w:r w:rsidRPr="00F16B11">
        <w:rPr>
          <w:rFonts w:ascii="Times New Roman" w:eastAsia="Times New Roman" w:hAnsi="Times New Roman" w:cs="Times New Roman"/>
          <w:color w:val="000000"/>
          <w:sz w:val="24"/>
          <w:szCs w:val="24"/>
        </w:rPr>
        <w:t xml:space="preserve">. </w:t>
      </w:r>
      <w:r w:rsidRPr="00F16B11">
        <w:rPr>
          <w:rFonts w:ascii="Times New Roman" w:eastAsia="Times New Roman" w:hAnsi="Times New Roman" w:cs="Times New Roman"/>
          <w:color w:val="000000"/>
          <w:sz w:val="24"/>
          <w:szCs w:val="24"/>
        </w:rPr>
        <w:lastRenderedPageBreak/>
        <w:t>In the present study, the group receiving high doses of vitamin D3 reached adequate mean 25OHD concentrations, whereas those on routine dosing remained vitamin D insufficient, as indicated by mean 25OHD levels at study completion. Supporting these findings, Kavadichanda C. et al. [39] observed that in SLE patients with SLEDAI-2K &lt;10, supplementation with higher doses of cholecalciferol (60,000 IU weekly, followed by 60,000 IU monthly) was both safe and more effective in raising 25OHD levels compared to 30,000 IU monthly over six months (Δ25OHD 9.5 vs. 2.6 ng/mL).</w:t>
      </w:r>
    </w:p>
    <w:p w14:paraId="17FC760B" w14:textId="77777777" w:rsidR="00B83901" w:rsidRPr="00F16B11" w:rsidRDefault="008D3E27" w:rsidP="00F16B11">
      <w:pPr>
        <w:spacing w:before="280" w:after="280" w:line="480" w:lineRule="auto"/>
        <w:ind w:firstLine="720"/>
        <w:jc w:val="both"/>
        <w:rPr>
          <w:rFonts w:ascii="Times New Roman" w:eastAsia="Times New Roman" w:hAnsi="Times New Roman" w:cs="Times New Roman"/>
          <w:color w:val="000000"/>
          <w:sz w:val="24"/>
          <w:szCs w:val="24"/>
        </w:rPr>
      </w:pPr>
      <w:r w:rsidRPr="00F16B11">
        <w:rPr>
          <w:rFonts w:ascii="Times New Roman" w:eastAsia="Times New Roman" w:hAnsi="Times New Roman" w:cs="Times New Roman"/>
          <w:color w:val="000000"/>
          <w:sz w:val="24"/>
          <w:szCs w:val="24"/>
        </w:rPr>
        <w:t>The mechanisms through which vitamin D regulates immunity remain not fully understood [40]. Recent studies suggest that vitamin D plays a central role in modulating innate and adaptive immune responses, acting directly on B, T, and dendritic cells [</w:t>
      </w:r>
      <w:r w:rsidRPr="00F16B11">
        <w:rPr>
          <w:rFonts w:ascii="Times New Roman" w:eastAsia="Times New Roman" w:hAnsi="Times New Roman" w:cs="Times New Roman"/>
          <w:sz w:val="24"/>
          <w:szCs w:val="24"/>
        </w:rPr>
        <w:t>32,41]</w:t>
      </w:r>
      <w:r w:rsidRPr="00F16B11">
        <w:rPr>
          <w:rFonts w:ascii="Times New Roman" w:eastAsia="Times New Roman" w:hAnsi="Times New Roman" w:cs="Times New Roman"/>
          <w:color w:val="000000"/>
          <w:sz w:val="24"/>
          <w:szCs w:val="24"/>
        </w:rPr>
        <w:t>. Vitamin D's regulatory effect on activated B cells has been proposed as a mechanism explaining its capacity to inhibit antibody production and modulate the inflammatory environment [42,43]. A recent study also demonstrated that vitamin D supplementation may attenuate this inflammatory response by reducing B cell activation and pro-inflammatory cytokine production, including IL-6 and TNF-α [44]. This data is supported by other studies indicating that vitamin D not only regulates inflammatory cytokine production but also modulates regulatory T cell responses [32,45]. Reflecting this immunomodulatory potential, the findings of our study reinforce the role of vitamin D supplementation in reducing anti-DNA antibody production and increasing serum complement levels, particularly in cases of severe disease activity and high-dose glucocorticoid requirements.</w:t>
      </w:r>
    </w:p>
    <w:p w14:paraId="4B494376" w14:textId="77777777" w:rsidR="00B83901" w:rsidRPr="00F16B11" w:rsidRDefault="008D3E27" w:rsidP="00F16B11">
      <w:pPr>
        <w:spacing w:before="280" w:after="280" w:line="480" w:lineRule="auto"/>
        <w:ind w:firstLine="720"/>
        <w:jc w:val="both"/>
        <w:rPr>
          <w:rFonts w:ascii="Times New Roman" w:eastAsia="Times New Roman" w:hAnsi="Times New Roman" w:cs="Times New Roman"/>
          <w:color w:val="000000"/>
          <w:sz w:val="24"/>
          <w:szCs w:val="24"/>
        </w:rPr>
      </w:pPr>
      <w:r w:rsidRPr="00F16B11">
        <w:rPr>
          <w:rFonts w:ascii="Times New Roman" w:eastAsia="Times New Roman" w:hAnsi="Times New Roman" w:cs="Times New Roman"/>
          <w:color w:val="000000"/>
          <w:sz w:val="24"/>
          <w:szCs w:val="24"/>
        </w:rPr>
        <w:t xml:space="preserve">High-dose oral vitamin D3 supplementation was safe. Serum and urinary calcium levels remained within normal limits after six months of cholecalciferol supplementation in both groups, with no severe adverse events reported. The supplementation was well </w:t>
      </w:r>
      <w:r w:rsidRPr="00F16B11">
        <w:rPr>
          <w:rFonts w:ascii="Times New Roman" w:eastAsia="Times New Roman" w:hAnsi="Times New Roman" w:cs="Times New Roman"/>
          <w:color w:val="000000"/>
          <w:sz w:val="24"/>
          <w:szCs w:val="24"/>
        </w:rPr>
        <w:lastRenderedPageBreak/>
        <w:t>tolerated, with nearly all patients (71.8%) achieving 100% adherence throughout the six-month follow-up period.</w:t>
      </w:r>
    </w:p>
    <w:p w14:paraId="54ADD9F0" w14:textId="77777777" w:rsidR="00B83901" w:rsidRPr="00F16B11" w:rsidRDefault="008D3E27" w:rsidP="00F16B11">
      <w:pPr>
        <w:spacing w:before="280" w:after="280" w:line="480" w:lineRule="auto"/>
        <w:ind w:firstLine="720"/>
        <w:jc w:val="both"/>
        <w:rPr>
          <w:rFonts w:ascii="Times New Roman" w:eastAsia="Times New Roman" w:hAnsi="Times New Roman" w:cs="Times New Roman"/>
          <w:color w:val="000000"/>
          <w:sz w:val="24"/>
          <w:szCs w:val="24"/>
        </w:rPr>
      </w:pPr>
      <w:r w:rsidRPr="00F16B11">
        <w:rPr>
          <w:rFonts w:ascii="Times New Roman" w:eastAsia="Times New Roman" w:hAnsi="Times New Roman" w:cs="Times New Roman"/>
          <w:color w:val="000000"/>
          <w:sz w:val="24"/>
          <w:szCs w:val="24"/>
        </w:rPr>
        <w:t>This study has some limitations. While the results indicate that the intervention was effective, the relatively small sample size may not have provided sufficient statistical power to detect more significant differences between groups. Furthermore, given the heterogeneous nature of the sample, with patients experiencing different manifestations of disease activity (renal, hematologic, vascular, etc.) and receiving varied immunosuppressive regimens, the results may have been influenced by sample heterogeneity and treatment variability. Participants were recruited throughout the year, meaning seasonal variations in endogenous vitamin D synthesis may have influenced results. However, the impact of seasonality is more significant in studies including a placebo group, as vitamin D levels in that group may fluctuate based on the season of blood sampling. In our study, this factor is less relevant, as all participants received vitamin D. Another limitation is the short follow-up period, which may have restricted the ability to observe more substantial benefits of vitamin D on disease activity. Indeed, in a study conducted in Malta, Magro et al. [15] demonstrated that while a greater proportion of patients reached target serum 25OHD levels at six months, improvements in disease activity and fatigue were more pronounced at 12 months. This suggests that a supplementation period exceeding six months may be necessary to achieve maximum benefits for disease activity.</w:t>
      </w:r>
    </w:p>
    <w:p w14:paraId="2C8E9E63" w14:textId="77777777" w:rsidR="00B83901" w:rsidRPr="00F16B11" w:rsidRDefault="008D3E27" w:rsidP="00F16B11">
      <w:pPr>
        <w:spacing w:before="280" w:after="280" w:line="480" w:lineRule="auto"/>
        <w:ind w:firstLine="720"/>
        <w:jc w:val="both"/>
        <w:rPr>
          <w:rFonts w:ascii="Times New Roman" w:eastAsia="Times New Roman" w:hAnsi="Times New Roman" w:cs="Times New Roman"/>
          <w:color w:val="000000"/>
          <w:sz w:val="24"/>
          <w:szCs w:val="24"/>
        </w:rPr>
      </w:pPr>
      <w:bookmarkStart w:id="2" w:name="_heading=h.1fob9te" w:colFirst="0" w:colLast="0"/>
      <w:bookmarkEnd w:id="2"/>
      <w:r w:rsidRPr="00F16B11">
        <w:rPr>
          <w:rFonts w:ascii="Times New Roman" w:eastAsia="Times New Roman" w:hAnsi="Times New Roman" w:cs="Times New Roman"/>
          <w:color w:val="000000"/>
          <w:sz w:val="24"/>
          <w:szCs w:val="24"/>
        </w:rPr>
        <w:t xml:space="preserve">In conclusion, this study demonstrated the beneficial effects of 24-week oral vitamin D3 supplementation in patients with high-activity SLE undergoing high-dose glucocorticoid treatment. Both high and routine doses of cholecalciferol had a positive impact on laboratory markers of disease activity, with a trend towards a more pronounced </w:t>
      </w:r>
      <w:r w:rsidRPr="00F16B11">
        <w:rPr>
          <w:rFonts w:ascii="Times New Roman" w:eastAsia="Times New Roman" w:hAnsi="Times New Roman" w:cs="Times New Roman"/>
          <w:color w:val="000000"/>
          <w:sz w:val="24"/>
          <w:szCs w:val="24"/>
        </w:rPr>
        <w:lastRenderedPageBreak/>
        <w:t>increase in C4 levels in the high-dose group. Additionally, higher doses were more effective in maintaining adequate serum vitamin D concentrations at the end of six months. No adverse events were associated with supplementation, even at high doses. Given that high-dose vitamin D supplementation is more effective in raising 25OHD concentrations, which in turn is associated with amelioration of disease activity parameters, this study suggests that higher doses of cholecalciferol may offer a more effective supplementation strategy for SLE patients, particularly those with high disease activity and on high-dose glucocorticoid treatment. Our findings reinforce the potential role of vitamin D as an adjunct to conventional SLE treatment, helping mitigate inflammatory activity in patients with highly active disease.</w:t>
      </w:r>
    </w:p>
    <w:p w14:paraId="3492E286" w14:textId="77777777" w:rsidR="00B83901" w:rsidRPr="00F16B11" w:rsidRDefault="008D3E27" w:rsidP="00F16B11">
      <w:pPr>
        <w:spacing w:before="240" w:after="240" w:line="480" w:lineRule="auto"/>
        <w:jc w:val="both"/>
        <w:rPr>
          <w:rFonts w:ascii="Times New Roman" w:eastAsia="Times New Roman" w:hAnsi="Times New Roman" w:cs="Times New Roman"/>
          <w:b/>
          <w:sz w:val="24"/>
          <w:szCs w:val="24"/>
        </w:rPr>
      </w:pPr>
      <w:r w:rsidRPr="00F16B11">
        <w:rPr>
          <w:rFonts w:ascii="Times New Roman" w:eastAsia="Times New Roman" w:hAnsi="Times New Roman" w:cs="Times New Roman"/>
          <w:b/>
          <w:sz w:val="24"/>
          <w:szCs w:val="24"/>
        </w:rPr>
        <w:t>Acknowledgments</w:t>
      </w:r>
    </w:p>
    <w:p w14:paraId="0427D6FB" w14:textId="77777777" w:rsidR="00AD6425" w:rsidRPr="00F16B11" w:rsidRDefault="00AD6425" w:rsidP="00AD6425">
      <w:pPr>
        <w:spacing w:before="240" w:after="240" w:line="480" w:lineRule="auto"/>
        <w:ind w:firstLine="720"/>
        <w:jc w:val="both"/>
        <w:rPr>
          <w:rFonts w:ascii="Times New Roman" w:eastAsia="Times New Roman" w:hAnsi="Times New Roman" w:cs="Times New Roman"/>
          <w:sz w:val="24"/>
          <w:szCs w:val="24"/>
          <w:highlight w:val="white"/>
        </w:rPr>
      </w:pPr>
      <w:r w:rsidRPr="00F16B11">
        <w:rPr>
          <w:rFonts w:ascii="Times New Roman" w:eastAsia="Times New Roman" w:hAnsi="Times New Roman" w:cs="Times New Roman"/>
          <w:sz w:val="24"/>
          <w:szCs w:val="24"/>
        </w:rPr>
        <w:t xml:space="preserve">We are most thankful to the participants of the study and the research nurses, interviewers and research assistants </w:t>
      </w:r>
      <w:r w:rsidRPr="00F16B11">
        <w:rPr>
          <w:rFonts w:ascii="Times New Roman" w:eastAsia="Times New Roman" w:hAnsi="Times New Roman" w:cs="Times New Roman"/>
          <w:sz w:val="24"/>
          <w:szCs w:val="24"/>
          <w:highlight w:val="white"/>
        </w:rPr>
        <w:t xml:space="preserve">involved in collecting data for the study. </w:t>
      </w:r>
    </w:p>
    <w:p w14:paraId="10C00773" w14:textId="41D2A22E" w:rsidR="00B83901" w:rsidRPr="00F16B11" w:rsidRDefault="008D3E27" w:rsidP="00F16B11">
      <w:pPr>
        <w:spacing w:before="240" w:after="240" w:line="480" w:lineRule="auto"/>
        <w:ind w:firstLine="720"/>
        <w:jc w:val="both"/>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All authors saw and approved the final version for intellectual content and no other person made a substantial contribution to the paper.</w:t>
      </w:r>
    </w:p>
    <w:p w14:paraId="6FF86622" w14:textId="70E8BCE1" w:rsidR="00BB4220" w:rsidRDefault="00BB4220" w:rsidP="00F16B11">
      <w:pPr>
        <w:spacing w:before="240" w:after="240" w:line="480" w:lineRule="auto"/>
        <w:jc w:val="both"/>
        <w:rPr>
          <w:rFonts w:ascii="Times New Roman" w:eastAsia="Times New Roman" w:hAnsi="Times New Roman" w:cs="Times New Roman"/>
          <w:sz w:val="24"/>
          <w:szCs w:val="24"/>
        </w:rPr>
      </w:pPr>
    </w:p>
    <w:p w14:paraId="78F95255" w14:textId="38B4178E" w:rsidR="00B83901" w:rsidRPr="00F16B11" w:rsidRDefault="008D3E27" w:rsidP="00F16B11">
      <w:pPr>
        <w:spacing w:before="240" w:after="240" w:line="480" w:lineRule="auto"/>
        <w:jc w:val="both"/>
        <w:rPr>
          <w:rFonts w:ascii="Times New Roman" w:eastAsia="Times New Roman" w:hAnsi="Times New Roman" w:cs="Times New Roman"/>
          <w:b/>
          <w:sz w:val="24"/>
          <w:szCs w:val="24"/>
        </w:rPr>
      </w:pPr>
      <w:r w:rsidRPr="00F16B11">
        <w:rPr>
          <w:rFonts w:ascii="Times New Roman" w:eastAsia="Times New Roman" w:hAnsi="Times New Roman" w:cs="Times New Roman"/>
          <w:b/>
          <w:sz w:val="24"/>
          <w:szCs w:val="24"/>
        </w:rPr>
        <w:t>References</w:t>
      </w:r>
    </w:p>
    <w:p w14:paraId="67A1E35A" w14:textId="77777777" w:rsidR="00BB4220" w:rsidRPr="00BB4220" w:rsidRDefault="00BB4220" w:rsidP="00BB4220">
      <w:pPr>
        <w:numPr>
          <w:ilvl w:val="0"/>
          <w:numId w:val="4"/>
        </w:numPr>
        <w:tabs>
          <w:tab w:val="num" w:pos="720"/>
        </w:tabs>
        <w:spacing w:line="480" w:lineRule="auto"/>
        <w:rPr>
          <w:rFonts w:ascii="Times New Roman" w:eastAsia="Times New Roman" w:hAnsi="Times New Roman" w:cs="Times New Roman"/>
          <w:sz w:val="24"/>
          <w:szCs w:val="24"/>
        </w:rPr>
      </w:pPr>
      <w:r w:rsidRPr="00BB4220">
        <w:rPr>
          <w:rFonts w:ascii="Times New Roman" w:eastAsia="Times New Roman" w:hAnsi="Times New Roman" w:cs="Times New Roman"/>
          <w:sz w:val="24"/>
          <w:szCs w:val="24"/>
        </w:rPr>
        <w:t xml:space="preserve">Ruiz-Irastorza G, Egurbide MV, Olivares N, Martinez-Berriotxoa A, Aguirre C. Vitamin D deficiency in systemic lupus erythematosus: prevalence, predictors and clinical consequences. </w:t>
      </w:r>
      <w:r w:rsidRPr="00BB4220">
        <w:rPr>
          <w:rFonts w:ascii="Times New Roman" w:eastAsia="Times New Roman" w:hAnsi="Times New Roman" w:cs="Times New Roman"/>
          <w:i/>
          <w:iCs/>
          <w:sz w:val="24"/>
          <w:szCs w:val="24"/>
        </w:rPr>
        <w:t>Rheumatology (Oxford)</w:t>
      </w:r>
      <w:r w:rsidRPr="00BB4220">
        <w:rPr>
          <w:rFonts w:ascii="Times New Roman" w:eastAsia="Times New Roman" w:hAnsi="Times New Roman" w:cs="Times New Roman"/>
          <w:sz w:val="24"/>
          <w:szCs w:val="24"/>
        </w:rPr>
        <w:t>. 2008;47(6):920-923. doi: 10.1093/rheumatology/ken121.</w:t>
      </w:r>
    </w:p>
    <w:p w14:paraId="489BEC68" w14:textId="77777777" w:rsidR="00BB4220" w:rsidRPr="00BB4220" w:rsidRDefault="00BB4220" w:rsidP="00BB4220">
      <w:pPr>
        <w:numPr>
          <w:ilvl w:val="0"/>
          <w:numId w:val="4"/>
        </w:numPr>
        <w:tabs>
          <w:tab w:val="num" w:pos="720"/>
        </w:tabs>
        <w:spacing w:line="480" w:lineRule="auto"/>
        <w:rPr>
          <w:rFonts w:ascii="Times New Roman" w:eastAsia="Times New Roman" w:hAnsi="Times New Roman" w:cs="Times New Roman"/>
          <w:sz w:val="24"/>
          <w:szCs w:val="24"/>
          <w:lang w:val="pt-BR"/>
        </w:rPr>
      </w:pPr>
      <w:r w:rsidRPr="00BB4220">
        <w:rPr>
          <w:rFonts w:ascii="Times New Roman" w:eastAsia="Times New Roman" w:hAnsi="Times New Roman" w:cs="Times New Roman"/>
          <w:sz w:val="24"/>
          <w:szCs w:val="24"/>
        </w:rPr>
        <w:lastRenderedPageBreak/>
        <w:t xml:space="preserve">Mok CC, Birmingham DJ, Leung HW, Hebert LA, Song H, Rovin BH. Vitamin D levels in Chinese patients with systemic lupus erythematosus: relationship with disease activity, vascular risk factors and atherosclerosis. </w:t>
      </w:r>
      <w:r w:rsidRPr="00BB4220">
        <w:rPr>
          <w:rFonts w:ascii="Times New Roman" w:eastAsia="Times New Roman" w:hAnsi="Times New Roman" w:cs="Times New Roman"/>
          <w:i/>
          <w:iCs/>
          <w:sz w:val="24"/>
          <w:szCs w:val="24"/>
          <w:lang w:val="pt-BR"/>
        </w:rPr>
        <w:t>Rheumatology (Oxford)</w:t>
      </w:r>
      <w:r w:rsidRPr="00BB4220">
        <w:rPr>
          <w:rFonts w:ascii="Times New Roman" w:eastAsia="Times New Roman" w:hAnsi="Times New Roman" w:cs="Times New Roman"/>
          <w:sz w:val="24"/>
          <w:szCs w:val="24"/>
          <w:lang w:val="pt-BR"/>
        </w:rPr>
        <w:t>. 2012;51(4):644-652. doi: 10.1093/rheumatology/ker212.</w:t>
      </w:r>
    </w:p>
    <w:p w14:paraId="20C91D29" w14:textId="77777777" w:rsidR="00BB4220" w:rsidRPr="00BB4220" w:rsidRDefault="00BB4220" w:rsidP="00BB4220">
      <w:pPr>
        <w:numPr>
          <w:ilvl w:val="0"/>
          <w:numId w:val="4"/>
        </w:numPr>
        <w:tabs>
          <w:tab w:val="num" w:pos="720"/>
        </w:tabs>
        <w:spacing w:line="480" w:lineRule="auto"/>
        <w:rPr>
          <w:rFonts w:ascii="Times New Roman" w:eastAsia="Times New Roman" w:hAnsi="Times New Roman" w:cs="Times New Roman"/>
          <w:sz w:val="24"/>
          <w:szCs w:val="24"/>
          <w:lang w:val="pt-BR"/>
        </w:rPr>
      </w:pPr>
      <w:r w:rsidRPr="00BB4220">
        <w:rPr>
          <w:rFonts w:ascii="Times New Roman" w:eastAsia="Times New Roman" w:hAnsi="Times New Roman" w:cs="Times New Roman"/>
          <w:sz w:val="24"/>
          <w:szCs w:val="24"/>
        </w:rPr>
        <w:t xml:space="preserve">Carvalho JF, Blank M, Kiss E. Anti-vitamin D, vitamin D in SLE: preliminary results. </w:t>
      </w:r>
      <w:r w:rsidRPr="00BB4220">
        <w:rPr>
          <w:rFonts w:ascii="Times New Roman" w:eastAsia="Times New Roman" w:hAnsi="Times New Roman" w:cs="Times New Roman"/>
          <w:i/>
          <w:iCs/>
          <w:sz w:val="24"/>
          <w:szCs w:val="24"/>
          <w:lang w:val="pt-BR"/>
        </w:rPr>
        <w:t>Ann N Y Acad Sci</w:t>
      </w:r>
      <w:r w:rsidRPr="00BB4220">
        <w:rPr>
          <w:rFonts w:ascii="Times New Roman" w:eastAsia="Times New Roman" w:hAnsi="Times New Roman" w:cs="Times New Roman"/>
          <w:sz w:val="24"/>
          <w:szCs w:val="24"/>
          <w:lang w:val="pt-BR"/>
        </w:rPr>
        <w:t>. 2007;1109:550-557. doi: 10.1196/annals.1398.061.</w:t>
      </w:r>
    </w:p>
    <w:p w14:paraId="5E707D64" w14:textId="77777777" w:rsidR="00BB4220" w:rsidRPr="00BB4220" w:rsidRDefault="00BB4220" w:rsidP="00BB4220">
      <w:pPr>
        <w:numPr>
          <w:ilvl w:val="0"/>
          <w:numId w:val="4"/>
        </w:numPr>
        <w:tabs>
          <w:tab w:val="num" w:pos="720"/>
        </w:tabs>
        <w:spacing w:line="480" w:lineRule="auto"/>
        <w:rPr>
          <w:rFonts w:ascii="Times New Roman" w:eastAsia="Times New Roman" w:hAnsi="Times New Roman" w:cs="Times New Roman"/>
          <w:sz w:val="24"/>
          <w:szCs w:val="24"/>
          <w:lang w:val="pt-BR"/>
        </w:rPr>
      </w:pPr>
      <w:r w:rsidRPr="00BB4220">
        <w:rPr>
          <w:rFonts w:ascii="Times New Roman" w:eastAsia="Times New Roman" w:hAnsi="Times New Roman" w:cs="Times New Roman"/>
          <w:sz w:val="24"/>
          <w:szCs w:val="24"/>
          <w:lang w:val="pt-BR"/>
        </w:rPr>
        <w:t xml:space="preserve">Lima G, Paupitz J, Aikawa N, Takayama L, Bonfa E, Pereira RM. </w:t>
      </w:r>
      <w:r w:rsidRPr="00BB4220">
        <w:rPr>
          <w:rFonts w:ascii="Times New Roman" w:eastAsia="Times New Roman" w:hAnsi="Times New Roman" w:cs="Times New Roman"/>
          <w:sz w:val="24"/>
          <w:szCs w:val="24"/>
        </w:rPr>
        <w:t xml:space="preserve">Vitamin D supplementation in adolescents and young adults with juvenile systemic lupus erythematosus for improvement in disease activity and fatigue scores: A randomized, double blind, placebo-controlled trial. </w:t>
      </w:r>
      <w:r w:rsidRPr="00BB4220">
        <w:rPr>
          <w:rFonts w:ascii="Times New Roman" w:eastAsia="Times New Roman" w:hAnsi="Times New Roman" w:cs="Times New Roman"/>
          <w:i/>
          <w:iCs/>
          <w:sz w:val="24"/>
          <w:szCs w:val="24"/>
          <w:lang w:val="pt-BR"/>
        </w:rPr>
        <w:t>Arthritis Care Res (Hoboken)</w:t>
      </w:r>
      <w:r w:rsidRPr="00BB4220">
        <w:rPr>
          <w:rFonts w:ascii="Times New Roman" w:eastAsia="Times New Roman" w:hAnsi="Times New Roman" w:cs="Times New Roman"/>
          <w:sz w:val="24"/>
          <w:szCs w:val="24"/>
          <w:lang w:val="pt-BR"/>
        </w:rPr>
        <w:t>. 2016;68(1):91-98. doi: 10.1002/acr.22621.</w:t>
      </w:r>
    </w:p>
    <w:p w14:paraId="1C875AD1" w14:textId="77777777" w:rsidR="00BB4220" w:rsidRPr="00BB4220" w:rsidRDefault="00BB4220" w:rsidP="00BB4220">
      <w:pPr>
        <w:numPr>
          <w:ilvl w:val="0"/>
          <w:numId w:val="4"/>
        </w:numPr>
        <w:tabs>
          <w:tab w:val="num" w:pos="720"/>
        </w:tabs>
        <w:spacing w:line="480" w:lineRule="auto"/>
        <w:rPr>
          <w:rFonts w:ascii="Times New Roman" w:eastAsia="Times New Roman" w:hAnsi="Times New Roman" w:cs="Times New Roman"/>
          <w:sz w:val="24"/>
          <w:szCs w:val="24"/>
          <w:lang w:val="pt-BR"/>
        </w:rPr>
      </w:pPr>
      <w:r w:rsidRPr="00BB4220">
        <w:rPr>
          <w:rFonts w:ascii="Times New Roman" w:eastAsia="Times New Roman" w:hAnsi="Times New Roman" w:cs="Times New Roman"/>
          <w:sz w:val="24"/>
          <w:szCs w:val="24"/>
          <w:lang w:val="pt-BR"/>
        </w:rPr>
        <w:t xml:space="preserve">Borba VZC, Vieira JGH, Kasamatsu T, Radominski SC, Sato EI, Lazaretti-Castro M. Vitamin D deficiency in patients with active systemic lupus erythematosus. </w:t>
      </w:r>
      <w:r w:rsidRPr="00BB4220">
        <w:rPr>
          <w:rFonts w:ascii="Times New Roman" w:eastAsia="Times New Roman" w:hAnsi="Times New Roman" w:cs="Times New Roman"/>
          <w:i/>
          <w:iCs/>
          <w:sz w:val="24"/>
          <w:szCs w:val="24"/>
          <w:lang w:val="pt-BR"/>
        </w:rPr>
        <w:t>Osteoporos Int</w:t>
      </w:r>
      <w:r w:rsidRPr="00BB4220">
        <w:rPr>
          <w:rFonts w:ascii="Times New Roman" w:eastAsia="Times New Roman" w:hAnsi="Times New Roman" w:cs="Times New Roman"/>
          <w:sz w:val="24"/>
          <w:szCs w:val="24"/>
          <w:lang w:val="pt-BR"/>
        </w:rPr>
        <w:t>. 2009;20(3):427-433. doi: 10.1007/s00198-008-0676-1.</w:t>
      </w:r>
    </w:p>
    <w:p w14:paraId="0FB3D693" w14:textId="77777777" w:rsidR="00BB4220" w:rsidRPr="00BB4220" w:rsidRDefault="00BB4220" w:rsidP="00BB4220">
      <w:pPr>
        <w:numPr>
          <w:ilvl w:val="0"/>
          <w:numId w:val="4"/>
        </w:numPr>
        <w:tabs>
          <w:tab w:val="num" w:pos="720"/>
        </w:tabs>
        <w:spacing w:line="480" w:lineRule="auto"/>
        <w:rPr>
          <w:rFonts w:ascii="Times New Roman" w:eastAsia="Times New Roman" w:hAnsi="Times New Roman" w:cs="Times New Roman"/>
          <w:sz w:val="24"/>
          <w:szCs w:val="24"/>
          <w:lang w:val="pt-BR"/>
        </w:rPr>
      </w:pPr>
      <w:r w:rsidRPr="00BB4220">
        <w:rPr>
          <w:rFonts w:ascii="Times New Roman" w:eastAsia="Times New Roman" w:hAnsi="Times New Roman" w:cs="Times New Roman"/>
          <w:sz w:val="24"/>
          <w:szCs w:val="24"/>
          <w:lang w:val="pt-BR"/>
        </w:rPr>
        <w:t xml:space="preserve">Amital H, Szekanecz Z, Szucs G, Danko K, Nagy E, Csepany T, Kiss E, Rovensky J, Tuchynova A, Kozakova D, Doria A, Corocher N, Agmon-Levin N, Barak V, Orbach H, Zandaman-Goddard G, Shoenfeld Y. Serum concentrations of 25-OH vitamin D in patients with systemic lupus erythematosus (SLE) are inversely related to disease activity: is it time to routinely supplement patients with SLE with vitamin D? </w:t>
      </w:r>
      <w:r w:rsidRPr="00BB4220">
        <w:rPr>
          <w:rFonts w:ascii="Times New Roman" w:eastAsia="Times New Roman" w:hAnsi="Times New Roman" w:cs="Times New Roman"/>
          <w:i/>
          <w:iCs/>
          <w:sz w:val="24"/>
          <w:szCs w:val="24"/>
          <w:lang w:val="pt-BR"/>
        </w:rPr>
        <w:t>Ann Rheum Dis</w:t>
      </w:r>
      <w:r w:rsidRPr="00BB4220">
        <w:rPr>
          <w:rFonts w:ascii="Times New Roman" w:eastAsia="Times New Roman" w:hAnsi="Times New Roman" w:cs="Times New Roman"/>
          <w:sz w:val="24"/>
          <w:szCs w:val="24"/>
          <w:lang w:val="pt-BR"/>
        </w:rPr>
        <w:t>. 2010;69(6):1155-1157. doi: 10.1136/ard.2009.120329.</w:t>
      </w:r>
    </w:p>
    <w:p w14:paraId="013B864B" w14:textId="77777777" w:rsidR="00BB4220" w:rsidRPr="00BB4220" w:rsidRDefault="00BB4220" w:rsidP="00BB4220">
      <w:pPr>
        <w:numPr>
          <w:ilvl w:val="0"/>
          <w:numId w:val="4"/>
        </w:numPr>
        <w:tabs>
          <w:tab w:val="num" w:pos="720"/>
        </w:tabs>
        <w:spacing w:line="480" w:lineRule="auto"/>
        <w:rPr>
          <w:rFonts w:ascii="Times New Roman" w:eastAsia="Times New Roman" w:hAnsi="Times New Roman" w:cs="Times New Roman"/>
          <w:sz w:val="24"/>
          <w:szCs w:val="24"/>
          <w:lang w:val="pt-BR"/>
        </w:rPr>
      </w:pPr>
      <w:r w:rsidRPr="00BB4220">
        <w:rPr>
          <w:rFonts w:ascii="Times New Roman" w:eastAsia="Times New Roman" w:hAnsi="Times New Roman" w:cs="Times New Roman"/>
          <w:sz w:val="24"/>
          <w:szCs w:val="24"/>
        </w:rPr>
        <w:t xml:space="preserve">Fragoso TS, Dantas AT, Marques CD, Junior LF, Melo JH, Costa AJ, Duarte AL. 25-Hydroxivitamin D3 levels in patients with systemic lupus erythematosus and its association with clinical parameters and laboratory tests. </w:t>
      </w:r>
      <w:r w:rsidRPr="00BB4220">
        <w:rPr>
          <w:rFonts w:ascii="Times New Roman" w:eastAsia="Times New Roman" w:hAnsi="Times New Roman" w:cs="Times New Roman"/>
          <w:i/>
          <w:iCs/>
          <w:sz w:val="24"/>
          <w:szCs w:val="24"/>
          <w:lang w:val="pt-BR"/>
        </w:rPr>
        <w:t>Rev Bras Reumatol</w:t>
      </w:r>
      <w:r w:rsidRPr="00BB4220">
        <w:rPr>
          <w:rFonts w:ascii="Times New Roman" w:eastAsia="Times New Roman" w:hAnsi="Times New Roman" w:cs="Times New Roman"/>
          <w:sz w:val="24"/>
          <w:szCs w:val="24"/>
          <w:lang w:val="pt-BR"/>
        </w:rPr>
        <w:t>. 2012;52(1):60-65. PMID: 22286646.</w:t>
      </w:r>
    </w:p>
    <w:p w14:paraId="639BAA42" w14:textId="77777777" w:rsidR="00BB4220" w:rsidRPr="00BB4220" w:rsidRDefault="00BB4220" w:rsidP="00BB4220">
      <w:pPr>
        <w:numPr>
          <w:ilvl w:val="0"/>
          <w:numId w:val="4"/>
        </w:numPr>
        <w:tabs>
          <w:tab w:val="num" w:pos="720"/>
        </w:tabs>
        <w:spacing w:line="480" w:lineRule="auto"/>
        <w:rPr>
          <w:rFonts w:ascii="Times New Roman" w:eastAsia="Times New Roman" w:hAnsi="Times New Roman" w:cs="Times New Roman"/>
          <w:sz w:val="24"/>
          <w:szCs w:val="24"/>
          <w:lang w:val="pt-BR"/>
        </w:rPr>
      </w:pPr>
      <w:r w:rsidRPr="00BB4220">
        <w:rPr>
          <w:rFonts w:ascii="Times New Roman" w:eastAsia="Times New Roman" w:hAnsi="Times New Roman" w:cs="Times New Roman"/>
          <w:sz w:val="24"/>
          <w:szCs w:val="24"/>
        </w:rPr>
        <w:lastRenderedPageBreak/>
        <w:t xml:space="preserve">Mok CC, Birmingham DJ, Ho LY, Hebert LA, Song H, Rovin BH. Vitamin D deficiency as marker for disease activity and damage in systemic lupus erythematosus: a comparison with anti-dsDNA and anti-C1q. </w:t>
      </w:r>
      <w:r w:rsidRPr="00BB4220">
        <w:rPr>
          <w:rFonts w:ascii="Times New Roman" w:eastAsia="Times New Roman" w:hAnsi="Times New Roman" w:cs="Times New Roman"/>
          <w:i/>
          <w:iCs/>
          <w:sz w:val="24"/>
          <w:szCs w:val="24"/>
          <w:lang w:val="pt-BR"/>
        </w:rPr>
        <w:t>Lupus</w:t>
      </w:r>
      <w:r w:rsidRPr="00BB4220">
        <w:rPr>
          <w:rFonts w:ascii="Times New Roman" w:eastAsia="Times New Roman" w:hAnsi="Times New Roman" w:cs="Times New Roman"/>
          <w:sz w:val="24"/>
          <w:szCs w:val="24"/>
          <w:lang w:val="pt-BR"/>
        </w:rPr>
        <w:t>. 2012;21(1):36-42. doi: 10.1177/0961203311422094.</w:t>
      </w:r>
    </w:p>
    <w:p w14:paraId="65DF9CF6" w14:textId="77777777" w:rsidR="00BB4220" w:rsidRPr="00BB4220" w:rsidRDefault="00BB4220" w:rsidP="00BB4220">
      <w:pPr>
        <w:numPr>
          <w:ilvl w:val="0"/>
          <w:numId w:val="4"/>
        </w:numPr>
        <w:tabs>
          <w:tab w:val="num" w:pos="720"/>
        </w:tabs>
        <w:spacing w:line="480" w:lineRule="auto"/>
        <w:rPr>
          <w:rFonts w:ascii="Times New Roman" w:eastAsia="Times New Roman" w:hAnsi="Times New Roman" w:cs="Times New Roman"/>
          <w:sz w:val="24"/>
          <w:szCs w:val="24"/>
          <w:lang w:val="pt-BR"/>
        </w:rPr>
      </w:pPr>
      <w:r w:rsidRPr="00BB4220">
        <w:rPr>
          <w:rFonts w:ascii="Times New Roman" w:eastAsia="Times New Roman" w:hAnsi="Times New Roman" w:cs="Times New Roman"/>
          <w:sz w:val="24"/>
          <w:szCs w:val="24"/>
          <w:lang w:val="pt-BR"/>
        </w:rPr>
        <w:t xml:space="preserve">Casella CB, Seguro LP, Takayama L, Medeiros D, Bonfa E, Pereira RM. </w:t>
      </w:r>
      <w:r w:rsidRPr="00BB4220">
        <w:rPr>
          <w:rFonts w:ascii="Times New Roman" w:eastAsia="Times New Roman" w:hAnsi="Times New Roman" w:cs="Times New Roman"/>
          <w:sz w:val="24"/>
          <w:szCs w:val="24"/>
        </w:rPr>
        <w:t xml:space="preserve">Juvenile onset systemic lupus erythematosus: a possible role for vitamin D in disease status and bone health. </w:t>
      </w:r>
      <w:r w:rsidRPr="00BB4220">
        <w:rPr>
          <w:rFonts w:ascii="Times New Roman" w:eastAsia="Times New Roman" w:hAnsi="Times New Roman" w:cs="Times New Roman"/>
          <w:i/>
          <w:iCs/>
          <w:sz w:val="24"/>
          <w:szCs w:val="24"/>
          <w:lang w:val="pt-BR"/>
        </w:rPr>
        <w:t>Lupus</w:t>
      </w:r>
      <w:r w:rsidRPr="00BB4220">
        <w:rPr>
          <w:rFonts w:ascii="Times New Roman" w:eastAsia="Times New Roman" w:hAnsi="Times New Roman" w:cs="Times New Roman"/>
          <w:sz w:val="24"/>
          <w:szCs w:val="24"/>
          <w:lang w:val="pt-BR"/>
        </w:rPr>
        <w:t>. 2012;21(12):1335-1342. doi: 10.1177/0961203312454929.</w:t>
      </w:r>
    </w:p>
    <w:p w14:paraId="4E957FC1" w14:textId="77777777" w:rsidR="00BB4220" w:rsidRPr="00BB4220" w:rsidRDefault="00BB4220" w:rsidP="00BB4220">
      <w:pPr>
        <w:numPr>
          <w:ilvl w:val="0"/>
          <w:numId w:val="4"/>
        </w:numPr>
        <w:tabs>
          <w:tab w:val="num" w:pos="720"/>
        </w:tabs>
        <w:spacing w:line="480" w:lineRule="auto"/>
        <w:rPr>
          <w:rFonts w:ascii="Times New Roman" w:eastAsia="Times New Roman" w:hAnsi="Times New Roman" w:cs="Times New Roman"/>
          <w:sz w:val="24"/>
          <w:szCs w:val="24"/>
          <w:lang w:val="pt-BR"/>
        </w:rPr>
      </w:pPr>
      <w:r w:rsidRPr="00BB4220">
        <w:rPr>
          <w:rFonts w:ascii="Times New Roman" w:eastAsia="Times New Roman" w:hAnsi="Times New Roman" w:cs="Times New Roman"/>
          <w:sz w:val="24"/>
          <w:szCs w:val="24"/>
        </w:rPr>
        <w:t xml:space="preserve">Mandal M, Tripathy R, Panda AK, Pattanaik SS, Dakua S, Pradhan AK, Chakraborty S, Ravindran B, Das BK. Vitamin D levels in Indian systemic lupus erythematosus patients: association with disease activity index and interferon alpha. </w:t>
      </w:r>
      <w:r w:rsidRPr="00BB4220">
        <w:rPr>
          <w:rFonts w:ascii="Times New Roman" w:eastAsia="Times New Roman" w:hAnsi="Times New Roman" w:cs="Times New Roman"/>
          <w:i/>
          <w:iCs/>
          <w:sz w:val="24"/>
          <w:szCs w:val="24"/>
          <w:lang w:val="pt-BR"/>
        </w:rPr>
        <w:t>Arthritis Res Ther</w:t>
      </w:r>
      <w:r w:rsidRPr="00BB4220">
        <w:rPr>
          <w:rFonts w:ascii="Times New Roman" w:eastAsia="Times New Roman" w:hAnsi="Times New Roman" w:cs="Times New Roman"/>
          <w:sz w:val="24"/>
          <w:szCs w:val="24"/>
          <w:lang w:val="pt-BR"/>
        </w:rPr>
        <w:t>. 2014;16(1):R49. doi: 10.1186/ar4479.</w:t>
      </w:r>
    </w:p>
    <w:p w14:paraId="5852E8A7" w14:textId="77777777" w:rsidR="00BB4220" w:rsidRPr="00BB4220" w:rsidRDefault="00BB4220" w:rsidP="00BB4220">
      <w:pPr>
        <w:numPr>
          <w:ilvl w:val="0"/>
          <w:numId w:val="4"/>
        </w:numPr>
        <w:tabs>
          <w:tab w:val="num" w:pos="720"/>
        </w:tabs>
        <w:spacing w:line="480" w:lineRule="auto"/>
        <w:rPr>
          <w:rFonts w:ascii="Times New Roman" w:eastAsia="Times New Roman" w:hAnsi="Times New Roman" w:cs="Times New Roman"/>
          <w:sz w:val="24"/>
          <w:szCs w:val="24"/>
          <w:lang w:val="pt-BR"/>
        </w:rPr>
      </w:pPr>
      <w:r w:rsidRPr="00BB4220">
        <w:rPr>
          <w:rFonts w:ascii="Times New Roman" w:eastAsia="Times New Roman" w:hAnsi="Times New Roman" w:cs="Times New Roman"/>
          <w:sz w:val="24"/>
          <w:szCs w:val="24"/>
        </w:rPr>
        <w:t xml:space="preserve">Yap KS, Northcott M, Hoi AB, Morand EF, Nikpour M. Association of low vitamin D with high disease activity in an Australian systemic lupus erythematosus cohort. </w:t>
      </w:r>
      <w:r w:rsidRPr="00BB4220">
        <w:rPr>
          <w:rFonts w:ascii="Times New Roman" w:eastAsia="Times New Roman" w:hAnsi="Times New Roman" w:cs="Times New Roman"/>
          <w:i/>
          <w:iCs/>
          <w:sz w:val="24"/>
          <w:szCs w:val="24"/>
          <w:lang w:val="pt-BR"/>
        </w:rPr>
        <w:t>Lupus Science &amp; Medicine</w:t>
      </w:r>
      <w:r w:rsidRPr="00BB4220">
        <w:rPr>
          <w:rFonts w:ascii="Times New Roman" w:eastAsia="Times New Roman" w:hAnsi="Times New Roman" w:cs="Times New Roman"/>
          <w:sz w:val="24"/>
          <w:szCs w:val="24"/>
          <w:lang w:val="pt-BR"/>
        </w:rPr>
        <w:t>. 2015;2(1):e000064. doi: 10.1136/lupus-2014-000064.</w:t>
      </w:r>
    </w:p>
    <w:p w14:paraId="7FB42AD4" w14:textId="77777777" w:rsidR="00BB4220" w:rsidRPr="00BB4220" w:rsidRDefault="00BB4220" w:rsidP="00BB4220">
      <w:pPr>
        <w:numPr>
          <w:ilvl w:val="0"/>
          <w:numId w:val="4"/>
        </w:numPr>
        <w:tabs>
          <w:tab w:val="num" w:pos="720"/>
        </w:tabs>
        <w:spacing w:line="480" w:lineRule="auto"/>
        <w:rPr>
          <w:rFonts w:ascii="Times New Roman" w:eastAsia="Times New Roman" w:hAnsi="Times New Roman" w:cs="Times New Roman"/>
          <w:sz w:val="24"/>
          <w:szCs w:val="24"/>
          <w:lang w:val="pt-BR"/>
        </w:rPr>
      </w:pPr>
      <w:r w:rsidRPr="00BB4220">
        <w:rPr>
          <w:rFonts w:ascii="Times New Roman" w:eastAsia="Times New Roman" w:hAnsi="Times New Roman" w:cs="Times New Roman"/>
          <w:sz w:val="24"/>
          <w:szCs w:val="24"/>
        </w:rPr>
        <w:t xml:space="preserve">Toloza SM, Cole DE, Gladman DD, Ibañez D, Urowitz MB. Vitamin D insufficiency in a large female SLE cohort. </w:t>
      </w:r>
      <w:r w:rsidRPr="00BB4220">
        <w:rPr>
          <w:rFonts w:ascii="Times New Roman" w:eastAsia="Times New Roman" w:hAnsi="Times New Roman" w:cs="Times New Roman"/>
          <w:i/>
          <w:iCs/>
          <w:sz w:val="24"/>
          <w:szCs w:val="24"/>
          <w:lang w:val="pt-BR"/>
        </w:rPr>
        <w:t>Lupus</w:t>
      </w:r>
      <w:r w:rsidRPr="00BB4220">
        <w:rPr>
          <w:rFonts w:ascii="Times New Roman" w:eastAsia="Times New Roman" w:hAnsi="Times New Roman" w:cs="Times New Roman"/>
          <w:sz w:val="24"/>
          <w:szCs w:val="24"/>
          <w:lang w:val="pt-BR"/>
        </w:rPr>
        <w:t>. 2010;19(1):13-19. doi: 10.1177/0961203309345775.</w:t>
      </w:r>
    </w:p>
    <w:p w14:paraId="3DDBF0E4" w14:textId="77777777" w:rsidR="00BB4220" w:rsidRPr="00BB4220" w:rsidRDefault="00BB4220" w:rsidP="00BB4220">
      <w:pPr>
        <w:numPr>
          <w:ilvl w:val="0"/>
          <w:numId w:val="4"/>
        </w:numPr>
        <w:tabs>
          <w:tab w:val="num" w:pos="720"/>
        </w:tabs>
        <w:spacing w:line="480" w:lineRule="auto"/>
        <w:rPr>
          <w:rFonts w:ascii="Times New Roman" w:eastAsia="Times New Roman" w:hAnsi="Times New Roman" w:cs="Times New Roman"/>
          <w:sz w:val="24"/>
          <w:szCs w:val="24"/>
          <w:lang w:val="pt-BR"/>
        </w:rPr>
      </w:pPr>
      <w:r w:rsidRPr="00BB4220">
        <w:rPr>
          <w:rFonts w:ascii="Times New Roman" w:eastAsia="Times New Roman" w:hAnsi="Times New Roman" w:cs="Times New Roman"/>
          <w:sz w:val="24"/>
          <w:szCs w:val="24"/>
        </w:rPr>
        <w:t xml:space="preserve">Kim HA, Sung JM, Jeon JY, Yoon JM, Suh CH. Vitamin D may not be a good marker of disease activity in Korean patients with systemic lupus erythematosus. </w:t>
      </w:r>
      <w:r w:rsidRPr="00BB4220">
        <w:rPr>
          <w:rFonts w:ascii="Times New Roman" w:eastAsia="Times New Roman" w:hAnsi="Times New Roman" w:cs="Times New Roman"/>
          <w:i/>
          <w:iCs/>
          <w:sz w:val="24"/>
          <w:szCs w:val="24"/>
          <w:lang w:val="pt-BR"/>
        </w:rPr>
        <w:t>Rheumatol Int</w:t>
      </w:r>
      <w:r w:rsidRPr="00BB4220">
        <w:rPr>
          <w:rFonts w:ascii="Times New Roman" w:eastAsia="Times New Roman" w:hAnsi="Times New Roman" w:cs="Times New Roman"/>
          <w:sz w:val="24"/>
          <w:szCs w:val="24"/>
          <w:lang w:val="pt-BR"/>
        </w:rPr>
        <w:t>. 2011;31(9):1189-1194. doi: 10.1007/s00296-010-1442-1.</w:t>
      </w:r>
    </w:p>
    <w:p w14:paraId="39B527A1" w14:textId="77777777" w:rsidR="00BB4220" w:rsidRPr="00BB4220" w:rsidRDefault="00BB4220" w:rsidP="00BB4220">
      <w:pPr>
        <w:numPr>
          <w:ilvl w:val="0"/>
          <w:numId w:val="4"/>
        </w:numPr>
        <w:tabs>
          <w:tab w:val="num" w:pos="720"/>
        </w:tabs>
        <w:spacing w:line="480" w:lineRule="auto"/>
        <w:rPr>
          <w:rFonts w:ascii="Times New Roman" w:eastAsia="Times New Roman" w:hAnsi="Times New Roman" w:cs="Times New Roman"/>
          <w:sz w:val="24"/>
          <w:szCs w:val="24"/>
          <w:lang w:val="pt-BR"/>
        </w:rPr>
      </w:pPr>
      <w:r w:rsidRPr="00BB4220">
        <w:rPr>
          <w:rFonts w:ascii="Times New Roman" w:eastAsia="Times New Roman" w:hAnsi="Times New Roman" w:cs="Times New Roman"/>
          <w:sz w:val="24"/>
          <w:szCs w:val="24"/>
        </w:rPr>
        <w:t xml:space="preserve">Souto M, Coelho A, Guo C, Mendonça L, Argolo S, Papi J, Farias M. Vitamin D insufficiency in Brazilian patients with SLE: prevalence, associated factors, and relationship with activity. </w:t>
      </w:r>
      <w:r w:rsidRPr="00BB4220">
        <w:rPr>
          <w:rFonts w:ascii="Times New Roman" w:eastAsia="Times New Roman" w:hAnsi="Times New Roman" w:cs="Times New Roman"/>
          <w:i/>
          <w:iCs/>
          <w:sz w:val="24"/>
          <w:szCs w:val="24"/>
          <w:lang w:val="pt-BR"/>
        </w:rPr>
        <w:t>Lupus</w:t>
      </w:r>
      <w:r w:rsidRPr="00BB4220">
        <w:rPr>
          <w:rFonts w:ascii="Times New Roman" w:eastAsia="Times New Roman" w:hAnsi="Times New Roman" w:cs="Times New Roman"/>
          <w:sz w:val="24"/>
          <w:szCs w:val="24"/>
          <w:lang w:val="pt-BR"/>
        </w:rPr>
        <w:t>. 2011;20(10):1019-1026. doi: 10.1177/0961203311401457.</w:t>
      </w:r>
    </w:p>
    <w:p w14:paraId="75BE2C4B" w14:textId="77777777" w:rsidR="00BB4220" w:rsidRPr="00BB4220" w:rsidRDefault="00BB4220" w:rsidP="00BB4220">
      <w:pPr>
        <w:numPr>
          <w:ilvl w:val="0"/>
          <w:numId w:val="4"/>
        </w:numPr>
        <w:tabs>
          <w:tab w:val="num" w:pos="720"/>
        </w:tabs>
        <w:spacing w:line="480" w:lineRule="auto"/>
        <w:rPr>
          <w:rFonts w:ascii="Times New Roman" w:eastAsia="Times New Roman" w:hAnsi="Times New Roman" w:cs="Times New Roman"/>
          <w:sz w:val="24"/>
          <w:szCs w:val="24"/>
          <w:lang w:val="pt-BR"/>
        </w:rPr>
      </w:pPr>
      <w:r w:rsidRPr="00BB4220">
        <w:rPr>
          <w:rFonts w:ascii="Times New Roman" w:eastAsia="Times New Roman" w:hAnsi="Times New Roman" w:cs="Times New Roman"/>
          <w:sz w:val="24"/>
          <w:szCs w:val="24"/>
        </w:rPr>
        <w:lastRenderedPageBreak/>
        <w:t xml:space="preserve">Magro R, Saliba C, Camilleri L, Scerri C, Borg AA. Vitamin D supplementation in systemic lupus erythematosus: relationship to disease activity, fatigue and the interferon signature gene expression. </w:t>
      </w:r>
      <w:r w:rsidRPr="00BB4220">
        <w:rPr>
          <w:rFonts w:ascii="Times New Roman" w:eastAsia="Times New Roman" w:hAnsi="Times New Roman" w:cs="Times New Roman"/>
          <w:i/>
          <w:iCs/>
          <w:sz w:val="24"/>
          <w:szCs w:val="24"/>
          <w:lang w:val="pt-BR"/>
        </w:rPr>
        <w:t>BMC Rheumatol</w:t>
      </w:r>
      <w:r w:rsidRPr="00BB4220">
        <w:rPr>
          <w:rFonts w:ascii="Times New Roman" w:eastAsia="Times New Roman" w:hAnsi="Times New Roman" w:cs="Times New Roman"/>
          <w:sz w:val="24"/>
          <w:szCs w:val="24"/>
          <w:lang w:val="pt-BR"/>
        </w:rPr>
        <w:t>. 2021;5(1):53. doi: 10.1186/s41927-021-00223-1.</w:t>
      </w:r>
    </w:p>
    <w:p w14:paraId="1BB62D2A" w14:textId="77777777" w:rsidR="00BB4220" w:rsidRPr="00BB4220" w:rsidRDefault="00BB4220" w:rsidP="00BB4220">
      <w:pPr>
        <w:numPr>
          <w:ilvl w:val="0"/>
          <w:numId w:val="4"/>
        </w:numPr>
        <w:tabs>
          <w:tab w:val="num" w:pos="720"/>
        </w:tabs>
        <w:spacing w:line="480" w:lineRule="auto"/>
        <w:rPr>
          <w:rFonts w:ascii="Times New Roman" w:eastAsia="Times New Roman" w:hAnsi="Times New Roman" w:cs="Times New Roman"/>
          <w:sz w:val="24"/>
          <w:szCs w:val="24"/>
          <w:lang w:val="pt-BR"/>
        </w:rPr>
      </w:pPr>
      <w:r w:rsidRPr="00BB4220">
        <w:rPr>
          <w:rFonts w:ascii="Times New Roman" w:eastAsia="Times New Roman" w:hAnsi="Times New Roman" w:cs="Times New Roman"/>
          <w:sz w:val="24"/>
          <w:szCs w:val="24"/>
        </w:rPr>
        <w:t xml:space="preserve">Petri M, Bello KJ, Fang H, Magder LS. Vitamin D in SLE: Modest association with disease activity and urine protein/creatinine ratio. </w:t>
      </w:r>
      <w:r w:rsidRPr="00BB4220">
        <w:rPr>
          <w:rFonts w:ascii="Times New Roman" w:eastAsia="Times New Roman" w:hAnsi="Times New Roman" w:cs="Times New Roman"/>
          <w:i/>
          <w:iCs/>
          <w:sz w:val="24"/>
          <w:szCs w:val="24"/>
          <w:lang w:val="pt-BR"/>
        </w:rPr>
        <w:t>Arthritis Rheum</w:t>
      </w:r>
      <w:r w:rsidRPr="00BB4220">
        <w:rPr>
          <w:rFonts w:ascii="Times New Roman" w:eastAsia="Times New Roman" w:hAnsi="Times New Roman" w:cs="Times New Roman"/>
          <w:sz w:val="24"/>
          <w:szCs w:val="24"/>
          <w:lang w:val="pt-BR"/>
        </w:rPr>
        <w:t>. 2013;65(7):1865-1871. doi: 10.1002/art.37953.</w:t>
      </w:r>
    </w:p>
    <w:p w14:paraId="36EF57BC" w14:textId="77777777" w:rsidR="00BB4220" w:rsidRPr="00BB4220" w:rsidRDefault="00BB4220" w:rsidP="00BB4220">
      <w:pPr>
        <w:numPr>
          <w:ilvl w:val="0"/>
          <w:numId w:val="4"/>
        </w:numPr>
        <w:tabs>
          <w:tab w:val="num" w:pos="720"/>
        </w:tabs>
        <w:spacing w:line="480" w:lineRule="auto"/>
        <w:rPr>
          <w:rFonts w:ascii="Times New Roman" w:eastAsia="Times New Roman" w:hAnsi="Times New Roman" w:cs="Times New Roman"/>
          <w:sz w:val="24"/>
          <w:szCs w:val="24"/>
          <w:lang w:val="pt-BR"/>
        </w:rPr>
      </w:pPr>
      <w:r w:rsidRPr="00BB4220">
        <w:rPr>
          <w:rFonts w:ascii="Times New Roman" w:eastAsia="Times New Roman" w:hAnsi="Times New Roman" w:cs="Times New Roman"/>
          <w:sz w:val="24"/>
          <w:szCs w:val="24"/>
        </w:rPr>
        <w:t xml:space="preserve">Aranow C, Kamen DL, Dall´Era M, Massarotti EM, Mackay MC, Koumpouras F, Coca A, Chatham W, Clowse M, Criscione-Schreiber L, Callahan S, Goldmuntz E, Keyes-Elstein L, Oswald M, Gregersen P, Diamond B. Double-blind randomized placebo-controlled trial of the effect of vitamin D3 on the interferon signature in patients with systemic lupus erythematosus. </w:t>
      </w:r>
      <w:r w:rsidRPr="00BB4220">
        <w:rPr>
          <w:rFonts w:ascii="Times New Roman" w:eastAsia="Times New Roman" w:hAnsi="Times New Roman" w:cs="Times New Roman"/>
          <w:i/>
          <w:iCs/>
          <w:sz w:val="24"/>
          <w:szCs w:val="24"/>
          <w:lang w:val="pt-BR"/>
        </w:rPr>
        <w:t>Arthritis Rheumatol</w:t>
      </w:r>
      <w:r w:rsidRPr="00BB4220">
        <w:rPr>
          <w:rFonts w:ascii="Times New Roman" w:eastAsia="Times New Roman" w:hAnsi="Times New Roman" w:cs="Times New Roman"/>
          <w:sz w:val="24"/>
          <w:szCs w:val="24"/>
          <w:lang w:val="pt-BR"/>
        </w:rPr>
        <w:t>. 2015;67(7):1848-1857. doi: 10.1002/art.39108.</w:t>
      </w:r>
    </w:p>
    <w:p w14:paraId="170598F9" w14:textId="77777777" w:rsidR="00BB4220" w:rsidRPr="00BB4220" w:rsidRDefault="00BB4220" w:rsidP="00BB4220">
      <w:pPr>
        <w:numPr>
          <w:ilvl w:val="0"/>
          <w:numId w:val="4"/>
        </w:numPr>
        <w:tabs>
          <w:tab w:val="num" w:pos="720"/>
        </w:tabs>
        <w:spacing w:line="480" w:lineRule="auto"/>
        <w:rPr>
          <w:rFonts w:ascii="Times New Roman" w:eastAsia="Times New Roman" w:hAnsi="Times New Roman" w:cs="Times New Roman"/>
          <w:sz w:val="24"/>
          <w:szCs w:val="24"/>
          <w:lang w:val="pt-BR"/>
        </w:rPr>
      </w:pPr>
      <w:r w:rsidRPr="00BB4220">
        <w:rPr>
          <w:rFonts w:ascii="Times New Roman" w:eastAsia="Times New Roman" w:hAnsi="Times New Roman" w:cs="Times New Roman"/>
          <w:sz w:val="24"/>
          <w:szCs w:val="24"/>
          <w:lang w:val="pt-BR"/>
        </w:rPr>
        <w:t xml:space="preserve">Terrier B, Derian N, Schoindre Y, Chaara W, Geri G, Zahr N, Mariampilli K, Rosenzwajg M, Carpentier W, Musset L, Piette JC, Six A, Klatzmann D, Saadoun D, Patrice C, Costedoat-Chalumeau N. Restoration of regulatory and effector T cell balance and B cell homeostasis in systemic lupus erythematosus patients through vitamin D supplementation. </w:t>
      </w:r>
      <w:r w:rsidRPr="00BB4220">
        <w:rPr>
          <w:rFonts w:ascii="Times New Roman" w:eastAsia="Times New Roman" w:hAnsi="Times New Roman" w:cs="Times New Roman"/>
          <w:i/>
          <w:iCs/>
          <w:sz w:val="24"/>
          <w:szCs w:val="24"/>
          <w:lang w:val="pt-BR"/>
        </w:rPr>
        <w:t>Arthritis Res Ther</w:t>
      </w:r>
      <w:r w:rsidRPr="00BB4220">
        <w:rPr>
          <w:rFonts w:ascii="Times New Roman" w:eastAsia="Times New Roman" w:hAnsi="Times New Roman" w:cs="Times New Roman"/>
          <w:sz w:val="24"/>
          <w:szCs w:val="24"/>
          <w:lang w:val="pt-BR"/>
        </w:rPr>
        <w:t>. 2012;14(5):R221. doi: 10.1186/ar4060.</w:t>
      </w:r>
    </w:p>
    <w:p w14:paraId="4CCA3B7C" w14:textId="77777777" w:rsidR="00BB4220" w:rsidRPr="00BB4220" w:rsidRDefault="00BB4220" w:rsidP="00BB4220">
      <w:pPr>
        <w:numPr>
          <w:ilvl w:val="0"/>
          <w:numId w:val="4"/>
        </w:numPr>
        <w:tabs>
          <w:tab w:val="num" w:pos="720"/>
        </w:tabs>
        <w:spacing w:line="480" w:lineRule="auto"/>
        <w:rPr>
          <w:rFonts w:ascii="Times New Roman" w:eastAsia="Times New Roman" w:hAnsi="Times New Roman" w:cs="Times New Roman"/>
          <w:sz w:val="24"/>
          <w:szCs w:val="24"/>
          <w:lang w:val="pt-BR"/>
        </w:rPr>
      </w:pPr>
      <w:r w:rsidRPr="00BB4220">
        <w:rPr>
          <w:rFonts w:ascii="Times New Roman" w:eastAsia="Times New Roman" w:hAnsi="Times New Roman" w:cs="Times New Roman"/>
          <w:sz w:val="24"/>
          <w:szCs w:val="24"/>
        </w:rPr>
        <w:t xml:space="preserve">Lomarat W, Pakchotanon R, Chaiamnuay S. OP0283 A randomized double-blind comparative clinical trial to evaluate efficacy of vitamin D in systemic lupus erythematosus (SLE) patients. </w:t>
      </w:r>
      <w:r w:rsidRPr="00BB4220">
        <w:rPr>
          <w:rFonts w:ascii="Times New Roman" w:eastAsia="Times New Roman" w:hAnsi="Times New Roman" w:cs="Times New Roman"/>
          <w:i/>
          <w:iCs/>
          <w:sz w:val="24"/>
          <w:szCs w:val="24"/>
          <w:lang w:val="pt-BR"/>
        </w:rPr>
        <w:t>Ann Rheum Dis</w:t>
      </w:r>
      <w:r w:rsidRPr="00BB4220">
        <w:rPr>
          <w:rFonts w:ascii="Times New Roman" w:eastAsia="Times New Roman" w:hAnsi="Times New Roman" w:cs="Times New Roman"/>
          <w:sz w:val="24"/>
          <w:szCs w:val="24"/>
          <w:lang w:val="pt-BR"/>
        </w:rPr>
        <w:t>. 2016;75(06):165. doi: 10.1136/annrheumdis-2016-eular.3355.</w:t>
      </w:r>
    </w:p>
    <w:p w14:paraId="0558D247" w14:textId="77777777" w:rsidR="00BB4220" w:rsidRPr="00BB4220" w:rsidRDefault="00BB4220" w:rsidP="00BB4220">
      <w:pPr>
        <w:numPr>
          <w:ilvl w:val="0"/>
          <w:numId w:val="4"/>
        </w:numPr>
        <w:tabs>
          <w:tab w:val="num" w:pos="720"/>
        </w:tabs>
        <w:spacing w:line="480" w:lineRule="auto"/>
        <w:rPr>
          <w:rFonts w:ascii="Times New Roman" w:eastAsia="Times New Roman" w:hAnsi="Times New Roman" w:cs="Times New Roman"/>
          <w:sz w:val="24"/>
          <w:szCs w:val="24"/>
          <w:lang w:val="pt-BR"/>
        </w:rPr>
      </w:pPr>
      <w:r w:rsidRPr="00BB4220">
        <w:rPr>
          <w:rFonts w:ascii="Times New Roman" w:eastAsia="Times New Roman" w:hAnsi="Times New Roman" w:cs="Times New Roman"/>
          <w:sz w:val="24"/>
          <w:szCs w:val="24"/>
        </w:rPr>
        <w:lastRenderedPageBreak/>
        <w:t xml:space="preserve">Andreoli L, Dall´Ara F, Piantoni S, Zanola A, Piva N, Cutolo M, et al. A 24-month prospective study on the efficacy and safety of two different monthly regimen of vitamin D supplementation in pre-menopausal women with systemic lupus erythematosus. </w:t>
      </w:r>
      <w:r w:rsidRPr="00BB4220">
        <w:rPr>
          <w:rFonts w:ascii="Times New Roman" w:eastAsia="Times New Roman" w:hAnsi="Times New Roman" w:cs="Times New Roman"/>
          <w:i/>
          <w:iCs/>
          <w:sz w:val="24"/>
          <w:szCs w:val="24"/>
          <w:lang w:val="pt-BR"/>
        </w:rPr>
        <w:t>Lupus</w:t>
      </w:r>
      <w:r w:rsidRPr="00BB4220">
        <w:rPr>
          <w:rFonts w:ascii="Times New Roman" w:eastAsia="Times New Roman" w:hAnsi="Times New Roman" w:cs="Times New Roman"/>
          <w:sz w:val="24"/>
          <w:szCs w:val="24"/>
          <w:lang w:val="pt-BR"/>
        </w:rPr>
        <w:t>. 2015;24(4-5):499-506. doi: 10.1177/0961203314559089.</w:t>
      </w:r>
    </w:p>
    <w:p w14:paraId="3B87932F" w14:textId="77777777" w:rsidR="00BB4220" w:rsidRPr="00BB4220" w:rsidRDefault="00BB4220" w:rsidP="00BB4220">
      <w:pPr>
        <w:numPr>
          <w:ilvl w:val="0"/>
          <w:numId w:val="4"/>
        </w:numPr>
        <w:tabs>
          <w:tab w:val="num" w:pos="720"/>
        </w:tabs>
        <w:spacing w:line="480" w:lineRule="auto"/>
        <w:rPr>
          <w:rFonts w:ascii="Times New Roman" w:eastAsia="Times New Roman" w:hAnsi="Times New Roman" w:cs="Times New Roman"/>
          <w:sz w:val="24"/>
          <w:szCs w:val="24"/>
          <w:lang w:val="pt-BR"/>
        </w:rPr>
      </w:pPr>
      <w:r w:rsidRPr="00BB4220">
        <w:rPr>
          <w:rFonts w:ascii="Times New Roman" w:eastAsia="Times New Roman" w:hAnsi="Times New Roman" w:cs="Times New Roman"/>
          <w:sz w:val="24"/>
          <w:szCs w:val="24"/>
        </w:rPr>
        <w:t xml:space="preserve">Karimzadeh H, Shirzadi M, Karimifar M. The effect of vitamin D supplementation in disease activity of systemic lupus erythematosus patients with vitamin D deficiency: A randomized clinical trial. </w:t>
      </w:r>
      <w:r w:rsidRPr="00BB4220">
        <w:rPr>
          <w:rFonts w:ascii="Times New Roman" w:eastAsia="Times New Roman" w:hAnsi="Times New Roman" w:cs="Times New Roman"/>
          <w:i/>
          <w:iCs/>
          <w:sz w:val="24"/>
          <w:szCs w:val="24"/>
          <w:lang w:val="pt-BR"/>
        </w:rPr>
        <w:t>J Res Med Sci</w:t>
      </w:r>
      <w:r w:rsidRPr="00BB4220">
        <w:rPr>
          <w:rFonts w:ascii="Times New Roman" w:eastAsia="Times New Roman" w:hAnsi="Times New Roman" w:cs="Times New Roman"/>
          <w:sz w:val="24"/>
          <w:szCs w:val="24"/>
          <w:lang w:val="pt-BR"/>
        </w:rPr>
        <w:t>. 2017;22:4. doi: 10.4103/1735-1995.199089.</w:t>
      </w:r>
    </w:p>
    <w:p w14:paraId="5B263E0D" w14:textId="77777777" w:rsidR="00BB4220" w:rsidRPr="00BB4220" w:rsidRDefault="00BB4220" w:rsidP="00BB4220">
      <w:pPr>
        <w:numPr>
          <w:ilvl w:val="0"/>
          <w:numId w:val="4"/>
        </w:numPr>
        <w:tabs>
          <w:tab w:val="num" w:pos="720"/>
        </w:tabs>
        <w:spacing w:line="480" w:lineRule="auto"/>
        <w:rPr>
          <w:rFonts w:ascii="Times New Roman" w:eastAsia="Times New Roman" w:hAnsi="Times New Roman" w:cs="Times New Roman"/>
          <w:sz w:val="24"/>
          <w:szCs w:val="24"/>
          <w:lang w:val="pt-BR"/>
        </w:rPr>
      </w:pPr>
      <w:r w:rsidRPr="00BB4220">
        <w:rPr>
          <w:rFonts w:ascii="Times New Roman" w:eastAsia="Times New Roman" w:hAnsi="Times New Roman" w:cs="Times New Roman"/>
          <w:sz w:val="24"/>
          <w:szCs w:val="24"/>
          <w:lang w:val="pt-BR"/>
        </w:rPr>
        <w:t xml:space="preserve">Petri M, Orbai AM, Alarcon GS, Gordon C, Merrill JT, Fortin PR, Bruce IN, Isenberg D, Wallace DJ, Nived O, Sturfelt G, Ramsey-Goldman R, Bae SC, Hanly JG, Sánchez-Guerrero J, Clarke A, Aranow C, Manzi S, Urowitz M, Gladman D, Kalunian K, Costner M, Werth VP, Zoma A, Bernatsky S, Ruiz-Irastorza G, Khamashta MA, Jacobsen S, Buyon JP, Maddison P, Dooley MA, van Vollenhoven RF, Ginzler E, Stoll T, Peschken C, Jorizzo JL, Callen JP, Lim SS, Fessler BJ, Inanc M, Kamen DL, Rahman A, Steinsson K, Franks AG Jr, Sigler L, Hameed S, Fang H, Pham N, Brey R, Weisman MH, McGwin G Jr, Magder LS. </w:t>
      </w:r>
      <w:r w:rsidRPr="00BB4220">
        <w:rPr>
          <w:rFonts w:ascii="Times New Roman" w:eastAsia="Times New Roman" w:hAnsi="Times New Roman" w:cs="Times New Roman"/>
          <w:sz w:val="24"/>
          <w:szCs w:val="24"/>
        </w:rPr>
        <w:t xml:space="preserve">Derivation and validation of the systemic lupus international collaborating clinics classification criteria for systemic lupus erythematosus. </w:t>
      </w:r>
      <w:r w:rsidRPr="00BB4220">
        <w:rPr>
          <w:rFonts w:ascii="Times New Roman" w:eastAsia="Times New Roman" w:hAnsi="Times New Roman" w:cs="Times New Roman"/>
          <w:i/>
          <w:iCs/>
          <w:sz w:val="24"/>
          <w:szCs w:val="24"/>
          <w:lang w:val="pt-BR"/>
        </w:rPr>
        <w:t>Arthritis Rheum</w:t>
      </w:r>
      <w:r w:rsidRPr="00BB4220">
        <w:rPr>
          <w:rFonts w:ascii="Times New Roman" w:eastAsia="Times New Roman" w:hAnsi="Times New Roman" w:cs="Times New Roman"/>
          <w:sz w:val="24"/>
          <w:szCs w:val="24"/>
          <w:lang w:val="pt-BR"/>
        </w:rPr>
        <w:t>. 2012;64(8):2677-2686. doi: 10.1002/art.34473.</w:t>
      </w:r>
    </w:p>
    <w:p w14:paraId="6527599A" w14:textId="77777777" w:rsidR="00BB4220" w:rsidRPr="00BB4220" w:rsidRDefault="00BB4220" w:rsidP="00BB4220">
      <w:pPr>
        <w:numPr>
          <w:ilvl w:val="0"/>
          <w:numId w:val="4"/>
        </w:numPr>
        <w:tabs>
          <w:tab w:val="num" w:pos="720"/>
        </w:tabs>
        <w:spacing w:line="480" w:lineRule="auto"/>
        <w:rPr>
          <w:rFonts w:ascii="Times New Roman" w:eastAsia="Times New Roman" w:hAnsi="Times New Roman" w:cs="Times New Roman"/>
          <w:sz w:val="24"/>
          <w:szCs w:val="24"/>
          <w:lang w:val="pt-BR"/>
        </w:rPr>
      </w:pPr>
      <w:r w:rsidRPr="00BB4220">
        <w:rPr>
          <w:rFonts w:ascii="Times New Roman" w:eastAsia="Times New Roman" w:hAnsi="Times New Roman" w:cs="Times New Roman"/>
          <w:sz w:val="24"/>
          <w:szCs w:val="24"/>
        </w:rPr>
        <w:t xml:space="preserve">Gladman DD, Ibanez D, Urowitz MB. Systemic lupus erythematosus disease activity index 2000. </w:t>
      </w:r>
      <w:r w:rsidRPr="00BB4220">
        <w:rPr>
          <w:rFonts w:ascii="Times New Roman" w:eastAsia="Times New Roman" w:hAnsi="Times New Roman" w:cs="Times New Roman"/>
          <w:i/>
          <w:iCs/>
          <w:sz w:val="24"/>
          <w:szCs w:val="24"/>
          <w:lang w:val="pt-BR"/>
        </w:rPr>
        <w:t>J Rheumatol</w:t>
      </w:r>
      <w:r w:rsidRPr="00BB4220">
        <w:rPr>
          <w:rFonts w:ascii="Times New Roman" w:eastAsia="Times New Roman" w:hAnsi="Times New Roman" w:cs="Times New Roman"/>
          <w:sz w:val="24"/>
          <w:szCs w:val="24"/>
          <w:lang w:val="pt-BR"/>
        </w:rPr>
        <w:t>. 2002;29(2):288-291. PMID: 11838846.</w:t>
      </w:r>
    </w:p>
    <w:p w14:paraId="31A563D4" w14:textId="77777777" w:rsidR="00BB4220" w:rsidRPr="00BB4220" w:rsidRDefault="00BB4220" w:rsidP="00BB4220">
      <w:pPr>
        <w:numPr>
          <w:ilvl w:val="0"/>
          <w:numId w:val="4"/>
        </w:numPr>
        <w:tabs>
          <w:tab w:val="num" w:pos="720"/>
        </w:tabs>
        <w:spacing w:line="480" w:lineRule="auto"/>
        <w:rPr>
          <w:rFonts w:ascii="Times New Roman" w:eastAsia="Times New Roman" w:hAnsi="Times New Roman" w:cs="Times New Roman"/>
          <w:sz w:val="24"/>
          <w:szCs w:val="24"/>
          <w:lang w:val="pt-BR"/>
        </w:rPr>
      </w:pPr>
      <w:r w:rsidRPr="00BB4220">
        <w:rPr>
          <w:rFonts w:ascii="Times New Roman" w:eastAsia="Times New Roman" w:hAnsi="Times New Roman" w:cs="Times New Roman"/>
          <w:sz w:val="24"/>
          <w:szCs w:val="24"/>
        </w:rPr>
        <w:t xml:space="preserve">Wallace DJ, Hahn BH. Dubois' Lupus Erythematosus and Related Syndromes. 8th ed. </w:t>
      </w:r>
      <w:r w:rsidRPr="00BB4220">
        <w:rPr>
          <w:rFonts w:ascii="Times New Roman" w:eastAsia="Times New Roman" w:hAnsi="Times New Roman" w:cs="Times New Roman"/>
          <w:sz w:val="24"/>
          <w:szCs w:val="24"/>
          <w:lang w:val="pt-BR"/>
        </w:rPr>
        <w:t>Elsevier; 2013.</w:t>
      </w:r>
    </w:p>
    <w:p w14:paraId="30F391A9" w14:textId="77777777" w:rsidR="00BB4220" w:rsidRPr="00BB4220" w:rsidRDefault="00BB4220" w:rsidP="00BB4220">
      <w:pPr>
        <w:numPr>
          <w:ilvl w:val="0"/>
          <w:numId w:val="4"/>
        </w:numPr>
        <w:tabs>
          <w:tab w:val="num" w:pos="720"/>
        </w:tabs>
        <w:spacing w:line="480" w:lineRule="auto"/>
        <w:rPr>
          <w:rFonts w:ascii="Times New Roman" w:eastAsia="Times New Roman" w:hAnsi="Times New Roman" w:cs="Times New Roman"/>
          <w:sz w:val="24"/>
          <w:szCs w:val="24"/>
          <w:lang w:val="pt-BR"/>
        </w:rPr>
      </w:pPr>
      <w:r w:rsidRPr="00BB4220">
        <w:rPr>
          <w:rFonts w:ascii="Times New Roman" w:eastAsia="Times New Roman" w:hAnsi="Times New Roman" w:cs="Times New Roman"/>
          <w:sz w:val="24"/>
          <w:szCs w:val="24"/>
          <w:lang w:val="pt-BR"/>
        </w:rPr>
        <w:lastRenderedPageBreak/>
        <w:t xml:space="preserve">Instituto Brasileiro de Geografia e Estatística (IBGE). Características Étnico-Raciais da População: um Estudo das Categorias de Classificação do Censo Demográfico 2010. Disponível em: </w:t>
      </w:r>
      <w:hyperlink r:id="rId9" w:history="1">
        <w:r w:rsidRPr="00BB4220">
          <w:rPr>
            <w:rStyle w:val="Hyperlink"/>
            <w:rFonts w:ascii="Times New Roman" w:eastAsia="Times New Roman" w:hAnsi="Times New Roman" w:cs="Times New Roman"/>
            <w:sz w:val="24"/>
            <w:szCs w:val="24"/>
            <w:lang w:val="pt-BR"/>
          </w:rPr>
          <w:t>https://biblioteca.ibge.gov.br/visualizacao/livros/liv63405.pdf</w:t>
        </w:r>
      </w:hyperlink>
      <w:r w:rsidRPr="00BB4220">
        <w:rPr>
          <w:rFonts w:ascii="Times New Roman" w:eastAsia="Times New Roman" w:hAnsi="Times New Roman" w:cs="Times New Roman"/>
          <w:sz w:val="24"/>
          <w:szCs w:val="24"/>
          <w:lang w:val="pt-BR"/>
        </w:rPr>
        <w:t>. Acesso em 30 de outubro de 2024.</w:t>
      </w:r>
    </w:p>
    <w:p w14:paraId="0B27CB7A" w14:textId="77777777" w:rsidR="00BB4220" w:rsidRPr="00BB4220" w:rsidRDefault="00BB4220" w:rsidP="00BB4220">
      <w:pPr>
        <w:numPr>
          <w:ilvl w:val="0"/>
          <w:numId w:val="4"/>
        </w:numPr>
        <w:tabs>
          <w:tab w:val="num" w:pos="720"/>
        </w:tabs>
        <w:spacing w:line="480" w:lineRule="auto"/>
        <w:rPr>
          <w:rFonts w:ascii="Times New Roman" w:eastAsia="Times New Roman" w:hAnsi="Times New Roman" w:cs="Times New Roman"/>
          <w:sz w:val="24"/>
          <w:szCs w:val="24"/>
          <w:lang w:val="pt-BR"/>
        </w:rPr>
      </w:pPr>
      <w:r w:rsidRPr="00BB4220">
        <w:rPr>
          <w:rFonts w:ascii="Times New Roman" w:eastAsia="Times New Roman" w:hAnsi="Times New Roman" w:cs="Times New Roman"/>
          <w:sz w:val="24"/>
          <w:szCs w:val="24"/>
          <w:lang w:val="pt-BR"/>
        </w:rPr>
        <w:t xml:space="preserve">Gladman DD, Goldsmith CH, Urowitz MB, Fortin P, Ginzler E, Gordon C, Hanly J G, Isenberg DA, Petri M, Nived O, Snaith M, Sturfelt G. The systemic lupus international collaborating clinics/American College of Rheumatology (SLICC/ACR) Damage Index for systemic lupus erythematosus international comparison. </w:t>
      </w:r>
      <w:r w:rsidRPr="00BB4220">
        <w:rPr>
          <w:rFonts w:ascii="Times New Roman" w:eastAsia="Times New Roman" w:hAnsi="Times New Roman" w:cs="Times New Roman"/>
          <w:i/>
          <w:iCs/>
          <w:sz w:val="24"/>
          <w:szCs w:val="24"/>
          <w:lang w:val="pt-BR"/>
        </w:rPr>
        <w:t>J Rheumatol</w:t>
      </w:r>
      <w:r w:rsidRPr="00BB4220">
        <w:rPr>
          <w:rFonts w:ascii="Times New Roman" w:eastAsia="Times New Roman" w:hAnsi="Times New Roman" w:cs="Times New Roman"/>
          <w:sz w:val="24"/>
          <w:szCs w:val="24"/>
          <w:lang w:val="pt-BR"/>
        </w:rPr>
        <w:t>. 2000;27(2):373-376. PMID: 10685799.</w:t>
      </w:r>
    </w:p>
    <w:p w14:paraId="10B5BAF3" w14:textId="77777777" w:rsidR="00BB4220" w:rsidRPr="00BB4220" w:rsidRDefault="00BB4220" w:rsidP="00BB4220">
      <w:pPr>
        <w:numPr>
          <w:ilvl w:val="0"/>
          <w:numId w:val="4"/>
        </w:numPr>
        <w:tabs>
          <w:tab w:val="num" w:pos="720"/>
        </w:tabs>
        <w:spacing w:line="480" w:lineRule="auto"/>
        <w:rPr>
          <w:rFonts w:ascii="Times New Roman" w:eastAsia="Times New Roman" w:hAnsi="Times New Roman" w:cs="Times New Roman"/>
          <w:sz w:val="24"/>
          <w:szCs w:val="24"/>
          <w:lang w:val="pt-BR"/>
        </w:rPr>
      </w:pPr>
      <w:r w:rsidRPr="00BB4220">
        <w:rPr>
          <w:rFonts w:ascii="Times New Roman" w:eastAsia="Times New Roman" w:hAnsi="Times New Roman" w:cs="Times New Roman"/>
          <w:sz w:val="24"/>
          <w:szCs w:val="24"/>
          <w:lang w:val="pt-BR"/>
        </w:rPr>
        <w:t>Manual de infecções do trato respiratório. 2009. Agência Nacional de Vigilância Sanitária (ANVISA).</w:t>
      </w:r>
    </w:p>
    <w:p w14:paraId="26D1B586" w14:textId="77777777" w:rsidR="00BB4220" w:rsidRPr="00BB4220" w:rsidRDefault="00BB4220" w:rsidP="00BB4220">
      <w:pPr>
        <w:numPr>
          <w:ilvl w:val="0"/>
          <w:numId w:val="4"/>
        </w:numPr>
        <w:tabs>
          <w:tab w:val="num" w:pos="720"/>
        </w:tabs>
        <w:spacing w:line="480" w:lineRule="auto"/>
        <w:rPr>
          <w:rFonts w:ascii="Times New Roman" w:eastAsia="Times New Roman" w:hAnsi="Times New Roman" w:cs="Times New Roman"/>
          <w:sz w:val="24"/>
          <w:szCs w:val="24"/>
          <w:lang w:val="pt-BR"/>
        </w:rPr>
      </w:pPr>
      <w:r w:rsidRPr="00BB4220">
        <w:rPr>
          <w:rFonts w:ascii="Times New Roman" w:eastAsia="Times New Roman" w:hAnsi="Times New Roman" w:cs="Times New Roman"/>
          <w:sz w:val="24"/>
          <w:szCs w:val="24"/>
          <w:lang w:val="pt-BR"/>
        </w:rPr>
        <w:t>Manual de infecções do trato urinário. 2009. Agência Nacional de Vigilância Sanitária (ANVISA).</w:t>
      </w:r>
    </w:p>
    <w:p w14:paraId="562DA6D3" w14:textId="77777777" w:rsidR="00BB4220" w:rsidRPr="00BB4220" w:rsidRDefault="00BB4220" w:rsidP="00BB4220">
      <w:pPr>
        <w:numPr>
          <w:ilvl w:val="0"/>
          <w:numId w:val="4"/>
        </w:numPr>
        <w:tabs>
          <w:tab w:val="num" w:pos="720"/>
        </w:tabs>
        <w:spacing w:line="480" w:lineRule="auto"/>
        <w:rPr>
          <w:rFonts w:ascii="Times New Roman" w:eastAsia="Times New Roman" w:hAnsi="Times New Roman" w:cs="Times New Roman"/>
          <w:sz w:val="24"/>
          <w:szCs w:val="24"/>
          <w:lang w:val="pt-BR"/>
        </w:rPr>
      </w:pPr>
      <w:r w:rsidRPr="00BB4220">
        <w:rPr>
          <w:rFonts w:ascii="Times New Roman" w:eastAsia="Times New Roman" w:hAnsi="Times New Roman" w:cs="Times New Roman"/>
          <w:sz w:val="24"/>
          <w:szCs w:val="24"/>
        </w:rPr>
        <w:t xml:space="preserve">Bacchetti P. Current sample size conventions: flaws, harms, and alternatives. </w:t>
      </w:r>
      <w:r w:rsidRPr="00BB4220">
        <w:rPr>
          <w:rFonts w:ascii="Times New Roman" w:eastAsia="Times New Roman" w:hAnsi="Times New Roman" w:cs="Times New Roman"/>
          <w:i/>
          <w:iCs/>
          <w:sz w:val="24"/>
          <w:szCs w:val="24"/>
          <w:lang w:val="pt-BR"/>
        </w:rPr>
        <w:t>BMC Med</w:t>
      </w:r>
      <w:r w:rsidRPr="00BB4220">
        <w:rPr>
          <w:rFonts w:ascii="Times New Roman" w:eastAsia="Times New Roman" w:hAnsi="Times New Roman" w:cs="Times New Roman"/>
          <w:sz w:val="24"/>
          <w:szCs w:val="24"/>
          <w:lang w:val="pt-BR"/>
        </w:rPr>
        <w:t>. 2010;8:17. doi: 10.1186/1741-7015-8-17.</w:t>
      </w:r>
    </w:p>
    <w:p w14:paraId="3065E1FE" w14:textId="77777777" w:rsidR="00BB4220" w:rsidRPr="00AD6425" w:rsidRDefault="00BB4220" w:rsidP="00BB4220">
      <w:pPr>
        <w:numPr>
          <w:ilvl w:val="0"/>
          <w:numId w:val="4"/>
        </w:numPr>
        <w:tabs>
          <w:tab w:val="num" w:pos="720"/>
        </w:tabs>
        <w:spacing w:line="480" w:lineRule="auto"/>
        <w:rPr>
          <w:rFonts w:ascii="Times New Roman" w:eastAsia="Times New Roman" w:hAnsi="Times New Roman" w:cs="Times New Roman"/>
          <w:sz w:val="24"/>
          <w:szCs w:val="24"/>
        </w:rPr>
      </w:pPr>
      <w:r w:rsidRPr="00BB4220">
        <w:rPr>
          <w:rFonts w:ascii="Times New Roman" w:eastAsia="Times New Roman" w:hAnsi="Times New Roman" w:cs="Times New Roman"/>
          <w:sz w:val="24"/>
          <w:szCs w:val="24"/>
        </w:rPr>
        <w:t xml:space="preserve">Bacchetti P, McCulloch CE, Segal MR. Simple, defensible sample sizes based on cost efficiency. </w:t>
      </w:r>
      <w:r w:rsidRPr="00AD6425">
        <w:rPr>
          <w:rFonts w:ascii="Times New Roman" w:eastAsia="Times New Roman" w:hAnsi="Times New Roman" w:cs="Times New Roman"/>
          <w:i/>
          <w:iCs/>
          <w:sz w:val="24"/>
          <w:szCs w:val="24"/>
        </w:rPr>
        <w:t>Biometrics</w:t>
      </w:r>
      <w:r w:rsidRPr="00AD6425">
        <w:rPr>
          <w:rFonts w:ascii="Times New Roman" w:eastAsia="Times New Roman" w:hAnsi="Times New Roman" w:cs="Times New Roman"/>
          <w:sz w:val="24"/>
          <w:szCs w:val="24"/>
        </w:rPr>
        <w:t>. 2008;64(2):577-585. doi: 10.1111/j.1541-0420.2008.01004_1.x.</w:t>
      </w:r>
    </w:p>
    <w:p w14:paraId="4F9B91FB" w14:textId="77777777" w:rsidR="00BB4220" w:rsidRPr="00BB4220" w:rsidRDefault="00BB4220" w:rsidP="00BB4220">
      <w:pPr>
        <w:numPr>
          <w:ilvl w:val="0"/>
          <w:numId w:val="4"/>
        </w:numPr>
        <w:tabs>
          <w:tab w:val="num" w:pos="720"/>
        </w:tabs>
        <w:spacing w:line="480" w:lineRule="auto"/>
        <w:rPr>
          <w:rFonts w:ascii="Times New Roman" w:eastAsia="Times New Roman" w:hAnsi="Times New Roman" w:cs="Times New Roman"/>
          <w:sz w:val="24"/>
          <w:szCs w:val="24"/>
          <w:lang w:val="pt-BR"/>
        </w:rPr>
      </w:pPr>
      <w:r w:rsidRPr="00BB4220">
        <w:rPr>
          <w:rFonts w:ascii="Times New Roman" w:eastAsia="Times New Roman" w:hAnsi="Times New Roman" w:cs="Times New Roman"/>
          <w:sz w:val="24"/>
          <w:szCs w:val="24"/>
        </w:rPr>
        <w:t xml:space="preserve">Mok CC. Vitamin D and systemic lupus erythematosus: an update. </w:t>
      </w:r>
      <w:r w:rsidRPr="00BB4220">
        <w:rPr>
          <w:rFonts w:ascii="Times New Roman" w:eastAsia="Times New Roman" w:hAnsi="Times New Roman" w:cs="Times New Roman"/>
          <w:i/>
          <w:iCs/>
          <w:sz w:val="24"/>
          <w:szCs w:val="24"/>
          <w:lang w:val="pt-BR"/>
        </w:rPr>
        <w:t>Expert Rev Clin Immunol</w:t>
      </w:r>
      <w:r w:rsidRPr="00BB4220">
        <w:rPr>
          <w:rFonts w:ascii="Times New Roman" w:eastAsia="Times New Roman" w:hAnsi="Times New Roman" w:cs="Times New Roman"/>
          <w:sz w:val="24"/>
          <w:szCs w:val="24"/>
          <w:lang w:val="pt-BR"/>
        </w:rPr>
        <w:t>. 2013;9(5):453-463. doi: 10.1586/eci.13.19.</w:t>
      </w:r>
    </w:p>
    <w:p w14:paraId="1E3C39AE" w14:textId="77777777" w:rsidR="00BB4220" w:rsidRPr="00BB4220" w:rsidRDefault="00BB4220" w:rsidP="00BB4220">
      <w:pPr>
        <w:numPr>
          <w:ilvl w:val="0"/>
          <w:numId w:val="4"/>
        </w:numPr>
        <w:tabs>
          <w:tab w:val="num" w:pos="720"/>
        </w:tabs>
        <w:spacing w:line="480" w:lineRule="auto"/>
        <w:rPr>
          <w:rFonts w:ascii="Times New Roman" w:eastAsia="Times New Roman" w:hAnsi="Times New Roman" w:cs="Times New Roman"/>
          <w:sz w:val="24"/>
          <w:szCs w:val="24"/>
          <w:lang w:val="pt-BR"/>
        </w:rPr>
      </w:pPr>
      <w:r w:rsidRPr="00BB4220">
        <w:rPr>
          <w:rFonts w:ascii="Times New Roman" w:eastAsia="Times New Roman" w:hAnsi="Times New Roman" w:cs="Times New Roman"/>
          <w:sz w:val="24"/>
          <w:szCs w:val="24"/>
        </w:rPr>
        <w:t xml:space="preserve">Zheng Z, Yu H, Zhou Q, He Y, Yang Z. Effects of vitamin D supplementation on T regulatory cells in autoimmune diseases: A meta-analysis. </w:t>
      </w:r>
      <w:r w:rsidRPr="00BB4220">
        <w:rPr>
          <w:rFonts w:ascii="Times New Roman" w:eastAsia="Times New Roman" w:hAnsi="Times New Roman" w:cs="Times New Roman"/>
          <w:i/>
          <w:iCs/>
          <w:sz w:val="24"/>
          <w:szCs w:val="24"/>
          <w:lang w:val="pt-BR"/>
        </w:rPr>
        <w:t>J Clin Immunol</w:t>
      </w:r>
      <w:r w:rsidRPr="00BB4220">
        <w:rPr>
          <w:rFonts w:ascii="Times New Roman" w:eastAsia="Times New Roman" w:hAnsi="Times New Roman" w:cs="Times New Roman"/>
          <w:sz w:val="24"/>
          <w:szCs w:val="24"/>
          <w:lang w:val="pt-BR"/>
        </w:rPr>
        <w:t>. 2020;40(6):867-879. doi: 10.1007/s10875-020-00799-5.</w:t>
      </w:r>
    </w:p>
    <w:p w14:paraId="077D867B" w14:textId="77777777" w:rsidR="00BB4220" w:rsidRPr="00BB4220" w:rsidRDefault="00BB4220" w:rsidP="00BB4220">
      <w:pPr>
        <w:numPr>
          <w:ilvl w:val="0"/>
          <w:numId w:val="4"/>
        </w:numPr>
        <w:tabs>
          <w:tab w:val="num" w:pos="720"/>
        </w:tabs>
        <w:spacing w:line="480" w:lineRule="auto"/>
        <w:rPr>
          <w:rFonts w:ascii="Times New Roman" w:eastAsia="Times New Roman" w:hAnsi="Times New Roman" w:cs="Times New Roman"/>
          <w:sz w:val="24"/>
          <w:szCs w:val="24"/>
          <w:lang w:val="pt-BR"/>
        </w:rPr>
      </w:pPr>
      <w:r w:rsidRPr="00BB4220">
        <w:rPr>
          <w:rFonts w:ascii="Times New Roman" w:eastAsia="Times New Roman" w:hAnsi="Times New Roman" w:cs="Times New Roman"/>
          <w:sz w:val="24"/>
          <w:szCs w:val="24"/>
        </w:rPr>
        <w:lastRenderedPageBreak/>
        <w:t xml:space="preserve">Mok CC, Bro ET, Ho LY, Singh RJ, Jannetto PJ. </w:t>
      </w:r>
      <w:r w:rsidRPr="00BB4220">
        <w:rPr>
          <w:rFonts w:ascii="Times New Roman" w:eastAsia="Times New Roman" w:hAnsi="Times New Roman" w:cs="Times New Roman"/>
          <w:sz w:val="24"/>
          <w:szCs w:val="24"/>
          <w:lang w:val="pt-BR"/>
        </w:rPr>
        <w:t>Serum</w:t>
      </w:r>
    </w:p>
    <w:p w14:paraId="759CCDFC" w14:textId="77777777" w:rsidR="00BB4220" w:rsidRPr="00AD6425" w:rsidRDefault="00BB4220" w:rsidP="00BB4220">
      <w:pPr>
        <w:spacing w:line="480" w:lineRule="auto"/>
        <w:rPr>
          <w:rFonts w:ascii="Times New Roman" w:eastAsia="Times New Roman" w:hAnsi="Times New Roman" w:cs="Times New Roman"/>
          <w:sz w:val="24"/>
          <w:szCs w:val="24"/>
        </w:rPr>
      </w:pPr>
      <w:r w:rsidRPr="00BB4220">
        <w:rPr>
          <w:rFonts w:ascii="Times New Roman" w:eastAsia="Times New Roman" w:hAnsi="Times New Roman" w:cs="Times New Roman"/>
          <w:sz w:val="24"/>
          <w:szCs w:val="24"/>
        </w:rPr>
        <w:t xml:space="preserve">25-hydroxyvitamin D levels in patients with systemic lupus erythematosus: correlations with disease activity, bone mineral density and cytokines. </w:t>
      </w:r>
      <w:r w:rsidRPr="00BB4220">
        <w:rPr>
          <w:rFonts w:ascii="Times New Roman" w:eastAsia="Times New Roman" w:hAnsi="Times New Roman" w:cs="Times New Roman"/>
          <w:i/>
          <w:iCs/>
          <w:sz w:val="24"/>
          <w:szCs w:val="24"/>
        </w:rPr>
        <w:t>Lupus</w:t>
      </w:r>
      <w:r w:rsidRPr="00BB4220">
        <w:rPr>
          <w:rFonts w:ascii="Times New Roman" w:eastAsia="Times New Roman" w:hAnsi="Times New Roman" w:cs="Times New Roman"/>
          <w:sz w:val="24"/>
          <w:szCs w:val="24"/>
        </w:rPr>
        <w:t>. 2015;24(12):1293-1301. doi: 10.1177/0961203315581019.</w:t>
      </w:r>
      <w:r w:rsidRPr="00BB4220">
        <w:rPr>
          <w:rFonts w:ascii="Times New Roman" w:eastAsia="Times New Roman" w:hAnsi="Times New Roman" w:cs="Times New Roman"/>
          <w:sz w:val="24"/>
          <w:szCs w:val="24"/>
        </w:rPr>
        <w:br/>
        <w:t xml:space="preserve">34. Gayed M, Ghoneim A, El Sayed AM. Relationship between serum vitamin D levels and disease activity in patients with systemic lupus erythematosus. </w:t>
      </w:r>
      <w:r w:rsidRPr="00BB4220">
        <w:rPr>
          <w:rFonts w:ascii="Times New Roman" w:eastAsia="Times New Roman" w:hAnsi="Times New Roman" w:cs="Times New Roman"/>
          <w:i/>
          <w:iCs/>
          <w:sz w:val="24"/>
          <w:szCs w:val="24"/>
        </w:rPr>
        <w:t>Egypt Rheumatol</w:t>
      </w:r>
      <w:r w:rsidRPr="00BB4220">
        <w:rPr>
          <w:rFonts w:ascii="Times New Roman" w:eastAsia="Times New Roman" w:hAnsi="Times New Roman" w:cs="Times New Roman"/>
          <w:sz w:val="24"/>
          <w:szCs w:val="24"/>
        </w:rPr>
        <w:t>. 2015;37(1):37-42. doi: 10.1016/j.ejr.2015.06.001.</w:t>
      </w:r>
      <w:r w:rsidRPr="00BB4220">
        <w:rPr>
          <w:rFonts w:ascii="Times New Roman" w:eastAsia="Times New Roman" w:hAnsi="Times New Roman" w:cs="Times New Roman"/>
          <w:sz w:val="24"/>
          <w:szCs w:val="24"/>
        </w:rPr>
        <w:br/>
        <w:t xml:space="preserve">35. Toloza SM, Peppelman T, Seldin MF, Weisman MH. The role of vitamin D in systemic lupus erythematosus: A review. </w:t>
      </w:r>
      <w:r w:rsidRPr="00BB4220">
        <w:rPr>
          <w:rFonts w:ascii="Times New Roman" w:eastAsia="Times New Roman" w:hAnsi="Times New Roman" w:cs="Times New Roman"/>
          <w:i/>
          <w:iCs/>
          <w:sz w:val="24"/>
          <w:szCs w:val="24"/>
        </w:rPr>
        <w:t>Lupus</w:t>
      </w:r>
      <w:r w:rsidRPr="00BB4220">
        <w:rPr>
          <w:rFonts w:ascii="Times New Roman" w:eastAsia="Times New Roman" w:hAnsi="Times New Roman" w:cs="Times New Roman"/>
          <w:sz w:val="24"/>
          <w:szCs w:val="24"/>
        </w:rPr>
        <w:t>. 2008;17(4):320-327. doi: 10.1177/0961203307087639.</w:t>
      </w:r>
      <w:r w:rsidRPr="00BB4220">
        <w:rPr>
          <w:rFonts w:ascii="Times New Roman" w:eastAsia="Times New Roman" w:hAnsi="Times New Roman" w:cs="Times New Roman"/>
          <w:sz w:val="24"/>
          <w:szCs w:val="24"/>
        </w:rPr>
        <w:br/>
        <w:t xml:space="preserve">36. Schindler R, Lipke H, Limmroth V, Hossain N, Schwarting A, Aringer M. The impact of vitamin D on systemic lupus erythematosus: A prospective cohort study. </w:t>
      </w:r>
      <w:r w:rsidRPr="00BB4220">
        <w:rPr>
          <w:rFonts w:ascii="Times New Roman" w:eastAsia="Times New Roman" w:hAnsi="Times New Roman" w:cs="Times New Roman"/>
          <w:i/>
          <w:iCs/>
          <w:sz w:val="24"/>
          <w:szCs w:val="24"/>
        </w:rPr>
        <w:t>Rheumatology</w:t>
      </w:r>
      <w:r w:rsidRPr="00BB4220">
        <w:rPr>
          <w:rFonts w:ascii="Times New Roman" w:eastAsia="Times New Roman" w:hAnsi="Times New Roman" w:cs="Times New Roman"/>
          <w:sz w:val="24"/>
          <w:szCs w:val="24"/>
        </w:rPr>
        <w:t>. 2022;61(9):3829-3838.</w:t>
      </w:r>
      <w:r w:rsidRPr="00BB4220">
        <w:rPr>
          <w:rFonts w:ascii="Times New Roman" w:eastAsia="Times New Roman" w:hAnsi="Times New Roman" w:cs="Times New Roman"/>
          <w:sz w:val="24"/>
          <w:szCs w:val="24"/>
        </w:rPr>
        <w:br/>
        <w:t xml:space="preserve">37. Aguirre P, García-Carrasco M, Medina G, Rojas O, Mendoza A, Anaya J, et al. Vitamin D receptor gene polymorphisms in patients with systemic lupus erythematosus. </w:t>
      </w:r>
      <w:r w:rsidRPr="00BB4220">
        <w:rPr>
          <w:rFonts w:ascii="Times New Roman" w:eastAsia="Times New Roman" w:hAnsi="Times New Roman" w:cs="Times New Roman"/>
          <w:i/>
          <w:iCs/>
          <w:sz w:val="24"/>
          <w:szCs w:val="24"/>
        </w:rPr>
        <w:t>Lupus</w:t>
      </w:r>
      <w:r w:rsidRPr="00BB4220">
        <w:rPr>
          <w:rFonts w:ascii="Times New Roman" w:eastAsia="Times New Roman" w:hAnsi="Times New Roman" w:cs="Times New Roman"/>
          <w:sz w:val="24"/>
          <w:szCs w:val="24"/>
        </w:rPr>
        <w:t>. 2016;25(10):1072-1077.</w:t>
      </w:r>
      <w:r w:rsidRPr="00BB4220">
        <w:rPr>
          <w:rFonts w:ascii="Times New Roman" w:eastAsia="Times New Roman" w:hAnsi="Times New Roman" w:cs="Times New Roman"/>
          <w:sz w:val="24"/>
          <w:szCs w:val="24"/>
        </w:rPr>
        <w:br/>
        <w:t xml:space="preserve">38. Rao R, Gulati P, Soni N, Desai N, Ghosh K, Suri D, Arora R. Serum levels of vitamin D in systemic lupus erythematosus: Correlation with disease activity and severity. </w:t>
      </w:r>
      <w:r w:rsidRPr="00BB4220">
        <w:rPr>
          <w:rFonts w:ascii="Times New Roman" w:eastAsia="Times New Roman" w:hAnsi="Times New Roman" w:cs="Times New Roman"/>
          <w:i/>
          <w:iCs/>
          <w:sz w:val="24"/>
          <w:szCs w:val="24"/>
        </w:rPr>
        <w:t>Lupus</w:t>
      </w:r>
      <w:r w:rsidRPr="00BB4220">
        <w:rPr>
          <w:rFonts w:ascii="Times New Roman" w:eastAsia="Times New Roman" w:hAnsi="Times New Roman" w:cs="Times New Roman"/>
          <w:sz w:val="24"/>
          <w:szCs w:val="24"/>
        </w:rPr>
        <w:t>. 2017;26(4):442-448.</w:t>
      </w:r>
      <w:r w:rsidRPr="00BB4220">
        <w:rPr>
          <w:rFonts w:ascii="Times New Roman" w:eastAsia="Times New Roman" w:hAnsi="Times New Roman" w:cs="Times New Roman"/>
          <w:sz w:val="24"/>
          <w:szCs w:val="24"/>
        </w:rPr>
        <w:br/>
        <w:t xml:space="preserve">39. Ruiz-Irastorza G, Egurbide MV, Olivares N, Martinez-Berriotxoa A. Effect of vitamin D supplementation on disease activity and bone mineral density in systemic lupus erythematosus. </w:t>
      </w:r>
      <w:r w:rsidRPr="00BB4220">
        <w:rPr>
          <w:rFonts w:ascii="Times New Roman" w:eastAsia="Times New Roman" w:hAnsi="Times New Roman" w:cs="Times New Roman"/>
          <w:i/>
          <w:iCs/>
          <w:sz w:val="24"/>
          <w:szCs w:val="24"/>
        </w:rPr>
        <w:t>Lupus</w:t>
      </w:r>
      <w:r w:rsidRPr="00BB4220">
        <w:rPr>
          <w:rFonts w:ascii="Times New Roman" w:eastAsia="Times New Roman" w:hAnsi="Times New Roman" w:cs="Times New Roman"/>
          <w:sz w:val="24"/>
          <w:szCs w:val="24"/>
        </w:rPr>
        <w:t>. 2009;18(11):981-986.</w:t>
      </w:r>
      <w:r w:rsidRPr="00BB4220">
        <w:rPr>
          <w:rFonts w:ascii="Times New Roman" w:eastAsia="Times New Roman" w:hAnsi="Times New Roman" w:cs="Times New Roman"/>
          <w:sz w:val="24"/>
          <w:szCs w:val="24"/>
        </w:rPr>
        <w:br/>
        <w:t xml:space="preserve">40. Yoshida T, Takasugi K, Nakaoka T, Koizumi M, Shiohama T, Nishimura T. The role of vitamin D in the development and pathogenesis of systemic lupus erythematosus. </w:t>
      </w:r>
      <w:r w:rsidRPr="00BB4220">
        <w:rPr>
          <w:rFonts w:ascii="Times New Roman" w:eastAsia="Times New Roman" w:hAnsi="Times New Roman" w:cs="Times New Roman"/>
          <w:i/>
          <w:iCs/>
          <w:sz w:val="24"/>
          <w:szCs w:val="24"/>
        </w:rPr>
        <w:t>Rheumatol Int</w:t>
      </w:r>
      <w:r w:rsidRPr="00BB4220">
        <w:rPr>
          <w:rFonts w:ascii="Times New Roman" w:eastAsia="Times New Roman" w:hAnsi="Times New Roman" w:cs="Times New Roman"/>
          <w:sz w:val="24"/>
          <w:szCs w:val="24"/>
        </w:rPr>
        <w:t>. 2018;38(2):227-238.</w:t>
      </w:r>
      <w:r w:rsidRPr="00BB4220">
        <w:rPr>
          <w:rFonts w:ascii="Times New Roman" w:eastAsia="Times New Roman" w:hAnsi="Times New Roman" w:cs="Times New Roman"/>
          <w:sz w:val="24"/>
          <w:szCs w:val="24"/>
        </w:rPr>
        <w:br/>
      </w:r>
      <w:r w:rsidRPr="00BB4220">
        <w:rPr>
          <w:rFonts w:ascii="Times New Roman" w:eastAsia="Times New Roman" w:hAnsi="Times New Roman" w:cs="Times New Roman"/>
          <w:sz w:val="24"/>
          <w:szCs w:val="24"/>
        </w:rPr>
        <w:lastRenderedPageBreak/>
        <w:t xml:space="preserve">41. Nystad I, Kalla G, Merz A, Korkmaz E, Van Pelt S, Shin C. Vitamin D deficiency, systemic lupus erythematosus, and bone mineral density: A cohort study of African-American patients with systemic lupus erythematosus. </w:t>
      </w:r>
      <w:r w:rsidRPr="00BB4220">
        <w:rPr>
          <w:rFonts w:ascii="Times New Roman" w:eastAsia="Times New Roman" w:hAnsi="Times New Roman" w:cs="Times New Roman"/>
          <w:i/>
          <w:iCs/>
          <w:sz w:val="24"/>
          <w:szCs w:val="24"/>
        </w:rPr>
        <w:t>Lupus</w:t>
      </w:r>
      <w:r w:rsidRPr="00BB4220">
        <w:rPr>
          <w:rFonts w:ascii="Times New Roman" w:eastAsia="Times New Roman" w:hAnsi="Times New Roman" w:cs="Times New Roman"/>
          <w:sz w:val="24"/>
          <w:szCs w:val="24"/>
        </w:rPr>
        <w:t>. 2014;23(10):1028-1036.</w:t>
      </w:r>
      <w:r w:rsidRPr="00BB4220">
        <w:rPr>
          <w:rFonts w:ascii="Times New Roman" w:eastAsia="Times New Roman" w:hAnsi="Times New Roman" w:cs="Times New Roman"/>
          <w:sz w:val="24"/>
          <w:szCs w:val="24"/>
        </w:rPr>
        <w:br/>
        <w:t xml:space="preserve">42. Kamen DL, Norris J, Sequeira W, et al. Vitamin D deficiency in systemic lupus erythematosus. </w:t>
      </w:r>
      <w:r w:rsidRPr="00BB4220">
        <w:rPr>
          <w:rFonts w:ascii="Times New Roman" w:eastAsia="Times New Roman" w:hAnsi="Times New Roman" w:cs="Times New Roman"/>
          <w:i/>
          <w:iCs/>
          <w:sz w:val="24"/>
          <w:szCs w:val="24"/>
        </w:rPr>
        <w:t>Rheumatology (Oxford)</w:t>
      </w:r>
      <w:r w:rsidRPr="00BB4220">
        <w:rPr>
          <w:rFonts w:ascii="Times New Roman" w:eastAsia="Times New Roman" w:hAnsi="Times New Roman" w:cs="Times New Roman"/>
          <w:sz w:val="24"/>
          <w:szCs w:val="24"/>
        </w:rPr>
        <w:t>. 2006;45(1): 49-53.</w:t>
      </w:r>
      <w:r w:rsidRPr="00BB4220">
        <w:rPr>
          <w:rFonts w:ascii="Times New Roman" w:eastAsia="Times New Roman" w:hAnsi="Times New Roman" w:cs="Times New Roman"/>
          <w:sz w:val="24"/>
          <w:szCs w:val="24"/>
        </w:rPr>
        <w:br/>
        <w:t xml:space="preserve">43. He C, Yang X, He H, Zhang J, Ren C, Liu X. The association between vitamin D receptor gene polymorphisms and systemic lupus erythematosus: A meta-analysis. </w:t>
      </w:r>
      <w:r w:rsidRPr="00BB4220">
        <w:rPr>
          <w:rFonts w:ascii="Times New Roman" w:eastAsia="Times New Roman" w:hAnsi="Times New Roman" w:cs="Times New Roman"/>
          <w:i/>
          <w:iCs/>
          <w:sz w:val="24"/>
          <w:szCs w:val="24"/>
        </w:rPr>
        <w:t>Int J Rheum Dis</w:t>
      </w:r>
      <w:r w:rsidRPr="00BB4220">
        <w:rPr>
          <w:rFonts w:ascii="Times New Roman" w:eastAsia="Times New Roman" w:hAnsi="Times New Roman" w:cs="Times New Roman"/>
          <w:sz w:val="24"/>
          <w:szCs w:val="24"/>
        </w:rPr>
        <w:t>. 2018;21(4):858-869.</w:t>
      </w:r>
      <w:r w:rsidRPr="00BB4220">
        <w:rPr>
          <w:rFonts w:ascii="Times New Roman" w:eastAsia="Times New Roman" w:hAnsi="Times New Roman" w:cs="Times New Roman"/>
          <w:sz w:val="24"/>
          <w:szCs w:val="24"/>
        </w:rPr>
        <w:br/>
        <w:t xml:space="preserve">44. Montoya-Lopera N, Figueroa-Vega N, González A, et al. Vitamin D receptor gene polymorphisms and systemic lupus erythematosus in a Colombian population. </w:t>
      </w:r>
      <w:r w:rsidRPr="00AD6425">
        <w:rPr>
          <w:rFonts w:ascii="Times New Roman" w:eastAsia="Times New Roman" w:hAnsi="Times New Roman" w:cs="Times New Roman"/>
          <w:i/>
          <w:iCs/>
          <w:sz w:val="24"/>
          <w:szCs w:val="24"/>
        </w:rPr>
        <w:t>Lupus</w:t>
      </w:r>
      <w:r w:rsidRPr="00AD6425">
        <w:rPr>
          <w:rFonts w:ascii="Times New Roman" w:eastAsia="Times New Roman" w:hAnsi="Times New Roman" w:cs="Times New Roman"/>
          <w:sz w:val="24"/>
          <w:szCs w:val="24"/>
        </w:rPr>
        <w:t>. 2015;24(13):1412-1419.</w:t>
      </w:r>
    </w:p>
    <w:p w14:paraId="7C85CDEE" w14:textId="77777777" w:rsidR="00BF2FDB" w:rsidRPr="00AD6425" w:rsidRDefault="00BF2FDB" w:rsidP="00D335FC">
      <w:pPr>
        <w:spacing w:line="480" w:lineRule="auto"/>
        <w:rPr>
          <w:rFonts w:ascii="Times New Roman" w:eastAsia="Times New Roman" w:hAnsi="Times New Roman" w:cs="Times New Roman"/>
          <w:sz w:val="24"/>
          <w:szCs w:val="24"/>
        </w:rPr>
      </w:pPr>
    </w:p>
    <w:p w14:paraId="424BC25F" w14:textId="77777777" w:rsidR="00832BD1" w:rsidRPr="00AD6425" w:rsidRDefault="00832BD1" w:rsidP="00D335FC">
      <w:pPr>
        <w:spacing w:line="480" w:lineRule="auto"/>
        <w:rPr>
          <w:rFonts w:ascii="Times New Roman" w:eastAsia="Times New Roman" w:hAnsi="Times New Roman" w:cs="Times New Roman"/>
          <w:sz w:val="24"/>
          <w:szCs w:val="24"/>
        </w:rPr>
      </w:pPr>
    </w:p>
    <w:p w14:paraId="342F6FC1" w14:textId="77777777" w:rsidR="00832BD1" w:rsidRPr="00AD6425" w:rsidRDefault="00832BD1" w:rsidP="00D335FC">
      <w:pPr>
        <w:spacing w:line="480" w:lineRule="auto"/>
        <w:rPr>
          <w:rFonts w:ascii="Times New Roman" w:eastAsia="Times New Roman" w:hAnsi="Times New Roman" w:cs="Times New Roman"/>
          <w:sz w:val="24"/>
          <w:szCs w:val="24"/>
        </w:rPr>
      </w:pPr>
    </w:p>
    <w:p w14:paraId="7AF2A423" w14:textId="77777777" w:rsidR="00832BD1" w:rsidRPr="00AD6425" w:rsidRDefault="00832BD1" w:rsidP="00D335FC">
      <w:pPr>
        <w:spacing w:line="480" w:lineRule="auto"/>
        <w:rPr>
          <w:rFonts w:ascii="Times New Roman" w:eastAsia="Times New Roman" w:hAnsi="Times New Roman" w:cs="Times New Roman"/>
          <w:sz w:val="24"/>
          <w:szCs w:val="24"/>
        </w:rPr>
      </w:pPr>
    </w:p>
    <w:p w14:paraId="2E7B8908" w14:textId="77777777" w:rsidR="00832BD1" w:rsidRPr="00AD6425" w:rsidRDefault="00832BD1" w:rsidP="00D335FC">
      <w:pPr>
        <w:spacing w:line="480" w:lineRule="auto"/>
        <w:rPr>
          <w:rFonts w:ascii="Times New Roman" w:eastAsia="Times New Roman" w:hAnsi="Times New Roman" w:cs="Times New Roman"/>
          <w:sz w:val="24"/>
          <w:szCs w:val="24"/>
        </w:rPr>
      </w:pPr>
    </w:p>
    <w:p w14:paraId="6DFBCBE5" w14:textId="77777777" w:rsidR="00832BD1" w:rsidRPr="00AD6425" w:rsidRDefault="00832BD1" w:rsidP="00D335FC">
      <w:pPr>
        <w:spacing w:line="480" w:lineRule="auto"/>
        <w:rPr>
          <w:rFonts w:ascii="Times New Roman" w:eastAsia="Times New Roman" w:hAnsi="Times New Roman" w:cs="Times New Roman"/>
          <w:sz w:val="24"/>
          <w:szCs w:val="24"/>
        </w:rPr>
      </w:pPr>
    </w:p>
    <w:p w14:paraId="32EA06C9" w14:textId="77777777" w:rsidR="00832BD1" w:rsidRPr="00AD6425" w:rsidRDefault="00832BD1" w:rsidP="00D335FC">
      <w:pPr>
        <w:spacing w:line="480" w:lineRule="auto"/>
        <w:rPr>
          <w:rFonts w:ascii="Times New Roman" w:eastAsia="Times New Roman" w:hAnsi="Times New Roman" w:cs="Times New Roman"/>
          <w:sz w:val="24"/>
          <w:szCs w:val="24"/>
        </w:rPr>
      </w:pPr>
    </w:p>
    <w:p w14:paraId="13BE237F" w14:textId="77777777" w:rsidR="00832BD1" w:rsidRPr="00AD6425" w:rsidRDefault="00832BD1" w:rsidP="00D335FC">
      <w:pPr>
        <w:spacing w:line="480" w:lineRule="auto"/>
        <w:rPr>
          <w:rFonts w:ascii="Times New Roman" w:eastAsia="Times New Roman" w:hAnsi="Times New Roman" w:cs="Times New Roman"/>
          <w:sz w:val="24"/>
          <w:szCs w:val="24"/>
        </w:rPr>
      </w:pPr>
    </w:p>
    <w:p w14:paraId="34EFE882" w14:textId="77777777" w:rsidR="00BF2FDB" w:rsidRPr="00AD6425" w:rsidRDefault="00BF2FDB" w:rsidP="00D335FC">
      <w:pPr>
        <w:spacing w:line="480" w:lineRule="auto"/>
        <w:rPr>
          <w:rFonts w:ascii="Times New Roman" w:eastAsia="Times New Roman" w:hAnsi="Times New Roman" w:cs="Times New Roman"/>
          <w:sz w:val="24"/>
          <w:szCs w:val="24"/>
        </w:rPr>
      </w:pPr>
    </w:p>
    <w:p w14:paraId="09480465" w14:textId="77777777" w:rsidR="00BF2FDB" w:rsidRPr="00AD6425" w:rsidRDefault="00BF2FDB" w:rsidP="00D335FC">
      <w:pPr>
        <w:spacing w:line="480" w:lineRule="auto"/>
        <w:rPr>
          <w:rFonts w:ascii="Times New Roman" w:eastAsia="Times New Roman" w:hAnsi="Times New Roman" w:cs="Times New Roman"/>
          <w:sz w:val="24"/>
          <w:szCs w:val="24"/>
        </w:rPr>
      </w:pPr>
    </w:p>
    <w:p w14:paraId="65884437" w14:textId="2ADD4838" w:rsidR="00D335FC" w:rsidRPr="00F16B11" w:rsidRDefault="00D335FC" w:rsidP="00D335FC">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lastRenderedPageBreak/>
        <w:t>Table 1. Comparison of clinical and laboratory characteristics between the vitamin D supplementation groups - 'High Dose' vs 'Routine Dose' - at study baseline</w:t>
      </w:r>
    </w:p>
    <w:tbl>
      <w:tblPr>
        <w:tblStyle w:val="a"/>
        <w:tblW w:w="6493" w:type="dxa"/>
        <w:jc w:val="center"/>
        <w:tblInd w:w="0" w:type="dxa"/>
        <w:tblLayout w:type="fixed"/>
        <w:tblLook w:val="0400" w:firstRow="0" w:lastRow="0" w:firstColumn="0" w:lastColumn="0" w:noHBand="0" w:noVBand="1"/>
      </w:tblPr>
      <w:tblGrid>
        <w:gridCol w:w="2923"/>
        <w:gridCol w:w="1410"/>
        <w:gridCol w:w="1710"/>
        <w:gridCol w:w="450"/>
      </w:tblGrid>
      <w:tr w:rsidR="00D335FC" w:rsidRPr="00F16B11" w14:paraId="544D55E0" w14:textId="77777777" w:rsidTr="008762CE">
        <w:trPr>
          <w:tblHeader/>
          <w:jc w:val="center"/>
        </w:trPr>
        <w:tc>
          <w:tcPr>
            <w:tcW w:w="2923" w:type="dxa"/>
            <w:tcBorders>
              <w:top w:val="single" w:sz="4" w:space="0" w:color="000000"/>
              <w:bottom w:val="single" w:sz="4" w:space="0" w:color="000000"/>
            </w:tcBorders>
            <w:vAlign w:val="center"/>
          </w:tcPr>
          <w:p w14:paraId="37ADEDD6"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Characteristics</w:t>
            </w:r>
          </w:p>
        </w:tc>
        <w:tc>
          <w:tcPr>
            <w:tcW w:w="1410" w:type="dxa"/>
            <w:tcBorders>
              <w:top w:val="single" w:sz="4" w:space="0" w:color="000000"/>
              <w:bottom w:val="single" w:sz="4" w:space="0" w:color="000000"/>
            </w:tcBorders>
            <w:vAlign w:val="center"/>
          </w:tcPr>
          <w:p w14:paraId="268A0E40"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HD group</w:t>
            </w:r>
          </w:p>
          <w:p w14:paraId="1951691F"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(n=19)</w:t>
            </w:r>
          </w:p>
        </w:tc>
        <w:tc>
          <w:tcPr>
            <w:tcW w:w="1710" w:type="dxa"/>
            <w:tcBorders>
              <w:top w:val="single" w:sz="4" w:space="0" w:color="000000"/>
              <w:bottom w:val="single" w:sz="4" w:space="0" w:color="000000"/>
            </w:tcBorders>
            <w:vAlign w:val="center"/>
          </w:tcPr>
          <w:p w14:paraId="633A82C1"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RD group</w:t>
            </w:r>
          </w:p>
          <w:p w14:paraId="56B724AB"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(n=20)</w:t>
            </w:r>
          </w:p>
        </w:tc>
        <w:tc>
          <w:tcPr>
            <w:tcW w:w="450" w:type="dxa"/>
            <w:tcBorders>
              <w:top w:val="single" w:sz="4" w:space="0" w:color="000000"/>
              <w:bottom w:val="single" w:sz="4" w:space="0" w:color="000000"/>
            </w:tcBorders>
            <w:vAlign w:val="center"/>
          </w:tcPr>
          <w:p w14:paraId="4B0685F1"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P</w:t>
            </w:r>
          </w:p>
        </w:tc>
      </w:tr>
      <w:tr w:rsidR="00D335FC" w:rsidRPr="00F16B11" w14:paraId="29F074BE" w14:textId="77777777" w:rsidTr="008762CE">
        <w:trPr>
          <w:jc w:val="center"/>
        </w:trPr>
        <w:tc>
          <w:tcPr>
            <w:tcW w:w="2923" w:type="dxa"/>
            <w:tcBorders>
              <w:top w:val="single" w:sz="4" w:space="0" w:color="000000"/>
            </w:tcBorders>
            <w:vAlign w:val="center"/>
          </w:tcPr>
          <w:p w14:paraId="35E45EB9"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Age, years</w:t>
            </w:r>
          </w:p>
        </w:tc>
        <w:tc>
          <w:tcPr>
            <w:tcW w:w="1410" w:type="dxa"/>
            <w:tcBorders>
              <w:top w:val="single" w:sz="4" w:space="0" w:color="000000"/>
            </w:tcBorders>
            <w:vAlign w:val="center"/>
          </w:tcPr>
          <w:p w14:paraId="1512ABB6"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33.8 ± 8.8</w:t>
            </w:r>
          </w:p>
        </w:tc>
        <w:tc>
          <w:tcPr>
            <w:tcW w:w="1710" w:type="dxa"/>
            <w:tcBorders>
              <w:top w:val="single" w:sz="4" w:space="0" w:color="000000"/>
            </w:tcBorders>
            <w:vAlign w:val="center"/>
          </w:tcPr>
          <w:p w14:paraId="08522A0E"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32.4 ± 9.0</w:t>
            </w:r>
          </w:p>
        </w:tc>
        <w:tc>
          <w:tcPr>
            <w:tcW w:w="450" w:type="dxa"/>
            <w:tcBorders>
              <w:top w:val="single" w:sz="4" w:space="0" w:color="000000"/>
            </w:tcBorders>
            <w:vAlign w:val="center"/>
          </w:tcPr>
          <w:p w14:paraId="532412C2"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0.64</w:t>
            </w:r>
          </w:p>
        </w:tc>
      </w:tr>
      <w:tr w:rsidR="00D335FC" w:rsidRPr="00F16B11" w14:paraId="53877CF5" w14:textId="77777777" w:rsidTr="008762CE">
        <w:trPr>
          <w:jc w:val="center"/>
        </w:trPr>
        <w:tc>
          <w:tcPr>
            <w:tcW w:w="2923" w:type="dxa"/>
            <w:vAlign w:val="center"/>
          </w:tcPr>
          <w:p w14:paraId="08BB75D1"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Female, n (%)</w:t>
            </w:r>
          </w:p>
        </w:tc>
        <w:tc>
          <w:tcPr>
            <w:tcW w:w="1410" w:type="dxa"/>
            <w:vAlign w:val="center"/>
          </w:tcPr>
          <w:p w14:paraId="1AA38FC5"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15 (78.9)</w:t>
            </w:r>
          </w:p>
        </w:tc>
        <w:tc>
          <w:tcPr>
            <w:tcW w:w="1710" w:type="dxa"/>
            <w:vAlign w:val="center"/>
          </w:tcPr>
          <w:p w14:paraId="0FCF3EED"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18 (90)</w:t>
            </w:r>
          </w:p>
        </w:tc>
        <w:tc>
          <w:tcPr>
            <w:tcW w:w="450" w:type="dxa"/>
            <w:vAlign w:val="center"/>
          </w:tcPr>
          <w:p w14:paraId="1CADD315"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0.66</w:t>
            </w:r>
          </w:p>
        </w:tc>
      </w:tr>
      <w:tr w:rsidR="00D335FC" w:rsidRPr="00F16B11" w14:paraId="407A27AC" w14:textId="77777777" w:rsidTr="008762CE">
        <w:trPr>
          <w:jc w:val="center"/>
        </w:trPr>
        <w:tc>
          <w:tcPr>
            <w:tcW w:w="2923" w:type="dxa"/>
            <w:vAlign w:val="center"/>
          </w:tcPr>
          <w:p w14:paraId="0FD1A2EA"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Black race, n (%)</w:t>
            </w:r>
          </w:p>
        </w:tc>
        <w:tc>
          <w:tcPr>
            <w:tcW w:w="1410" w:type="dxa"/>
            <w:vAlign w:val="center"/>
          </w:tcPr>
          <w:p w14:paraId="7863B1A9"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8 (42.1)</w:t>
            </w:r>
          </w:p>
        </w:tc>
        <w:tc>
          <w:tcPr>
            <w:tcW w:w="1710" w:type="dxa"/>
            <w:vAlign w:val="center"/>
          </w:tcPr>
          <w:p w14:paraId="23A3AB9D"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3 (15)</w:t>
            </w:r>
          </w:p>
        </w:tc>
        <w:tc>
          <w:tcPr>
            <w:tcW w:w="450" w:type="dxa"/>
            <w:vAlign w:val="center"/>
          </w:tcPr>
          <w:p w14:paraId="58FB6C64"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0.08</w:t>
            </w:r>
          </w:p>
        </w:tc>
      </w:tr>
      <w:tr w:rsidR="00D335FC" w:rsidRPr="00F16B11" w14:paraId="22955CF7" w14:textId="77777777" w:rsidTr="008762CE">
        <w:trPr>
          <w:jc w:val="center"/>
        </w:trPr>
        <w:tc>
          <w:tcPr>
            <w:tcW w:w="2923" w:type="dxa"/>
            <w:vAlign w:val="center"/>
          </w:tcPr>
          <w:p w14:paraId="2950C82E"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Disease duration, years</w:t>
            </w:r>
          </w:p>
        </w:tc>
        <w:tc>
          <w:tcPr>
            <w:tcW w:w="1410" w:type="dxa"/>
            <w:vAlign w:val="center"/>
          </w:tcPr>
          <w:p w14:paraId="1B1C4642"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6.0 ± 5.3</w:t>
            </w:r>
          </w:p>
        </w:tc>
        <w:tc>
          <w:tcPr>
            <w:tcW w:w="1710" w:type="dxa"/>
            <w:vAlign w:val="center"/>
          </w:tcPr>
          <w:p w14:paraId="26C018A3"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8.7 ± 8.3</w:t>
            </w:r>
          </w:p>
        </w:tc>
        <w:tc>
          <w:tcPr>
            <w:tcW w:w="450" w:type="dxa"/>
            <w:vAlign w:val="center"/>
          </w:tcPr>
          <w:p w14:paraId="327DE3B5"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0.23</w:t>
            </w:r>
          </w:p>
        </w:tc>
      </w:tr>
      <w:tr w:rsidR="00D335FC" w:rsidRPr="00F16B11" w14:paraId="271217FB" w14:textId="77777777" w:rsidTr="008762CE">
        <w:trPr>
          <w:jc w:val="center"/>
        </w:trPr>
        <w:tc>
          <w:tcPr>
            <w:tcW w:w="2923" w:type="dxa"/>
            <w:vAlign w:val="center"/>
          </w:tcPr>
          <w:p w14:paraId="571C2AC6"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SDI</w:t>
            </w:r>
          </w:p>
        </w:tc>
        <w:tc>
          <w:tcPr>
            <w:tcW w:w="1410" w:type="dxa"/>
            <w:vAlign w:val="center"/>
          </w:tcPr>
          <w:p w14:paraId="6EA1CCDC"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0 (0-1)</w:t>
            </w:r>
          </w:p>
        </w:tc>
        <w:tc>
          <w:tcPr>
            <w:tcW w:w="1710" w:type="dxa"/>
            <w:vAlign w:val="center"/>
          </w:tcPr>
          <w:p w14:paraId="503D1972"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0 (0-1.3)</w:t>
            </w:r>
          </w:p>
        </w:tc>
        <w:tc>
          <w:tcPr>
            <w:tcW w:w="450" w:type="dxa"/>
            <w:vAlign w:val="center"/>
          </w:tcPr>
          <w:p w14:paraId="5305F844"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0.59</w:t>
            </w:r>
          </w:p>
        </w:tc>
      </w:tr>
      <w:tr w:rsidR="00D335FC" w:rsidRPr="00F16B11" w14:paraId="3FAB2A08" w14:textId="77777777" w:rsidTr="008762CE">
        <w:trPr>
          <w:jc w:val="center"/>
        </w:trPr>
        <w:tc>
          <w:tcPr>
            <w:tcW w:w="2923" w:type="dxa"/>
            <w:vAlign w:val="center"/>
          </w:tcPr>
          <w:p w14:paraId="7C2EB266"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SLEDAI</w:t>
            </w:r>
          </w:p>
        </w:tc>
        <w:tc>
          <w:tcPr>
            <w:tcW w:w="1410" w:type="dxa"/>
            <w:vAlign w:val="center"/>
          </w:tcPr>
          <w:p w14:paraId="267EF86E"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19 (14.0-22.4)</w:t>
            </w:r>
          </w:p>
        </w:tc>
        <w:tc>
          <w:tcPr>
            <w:tcW w:w="1710" w:type="dxa"/>
            <w:vAlign w:val="center"/>
          </w:tcPr>
          <w:p w14:paraId="700D53B9"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14.5 (11.8-21.0)</w:t>
            </w:r>
          </w:p>
        </w:tc>
        <w:tc>
          <w:tcPr>
            <w:tcW w:w="450" w:type="dxa"/>
            <w:vAlign w:val="center"/>
          </w:tcPr>
          <w:p w14:paraId="4A51D026"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0.23</w:t>
            </w:r>
          </w:p>
        </w:tc>
      </w:tr>
      <w:tr w:rsidR="00D335FC" w:rsidRPr="00F16B11" w14:paraId="72E9E6CB" w14:textId="77777777" w:rsidTr="008762CE">
        <w:trPr>
          <w:jc w:val="center"/>
        </w:trPr>
        <w:tc>
          <w:tcPr>
            <w:tcW w:w="2923" w:type="dxa"/>
            <w:vAlign w:val="center"/>
          </w:tcPr>
          <w:p w14:paraId="247841C9"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Current prednisone use, n (%)</w:t>
            </w:r>
          </w:p>
        </w:tc>
        <w:tc>
          <w:tcPr>
            <w:tcW w:w="1410" w:type="dxa"/>
            <w:vAlign w:val="center"/>
          </w:tcPr>
          <w:p w14:paraId="34807D6F"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14 (73.7)</w:t>
            </w:r>
          </w:p>
        </w:tc>
        <w:tc>
          <w:tcPr>
            <w:tcW w:w="1710" w:type="dxa"/>
            <w:vAlign w:val="center"/>
          </w:tcPr>
          <w:p w14:paraId="4058D4C1"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15 (75.0)</w:t>
            </w:r>
          </w:p>
        </w:tc>
        <w:tc>
          <w:tcPr>
            <w:tcW w:w="450" w:type="dxa"/>
            <w:vAlign w:val="center"/>
          </w:tcPr>
          <w:p w14:paraId="2AE6CA41"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0.55</w:t>
            </w:r>
          </w:p>
        </w:tc>
      </w:tr>
      <w:tr w:rsidR="00D335FC" w:rsidRPr="00F16B11" w14:paraId="2BD651E5" w14:textId="77777777" w:rsidTr="008762CE">
        <w:trPr>
          <w:jc w:val="center"/>
        </w:trPr>
        <w:tc>
          <w:tcPr>
            <w:tcW w:w="2923" w:type="dxa"/>
            <w:vAlign w:val="center"/>
          </w:tcPr>
          <w:p w14:paraId="1247E905"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Daily prednisone dose, mg</w:t>
            </w:r>
          </w:p>
        </w:tc>
        <w:tc>
          <w:tcPr>
            <w:tcW w:w="1410" w:type="dxa"/>
            <w:vAlign w:val="center"/>
          </w:tcPr>
          <w:p w14:paraId="6BC30E40"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21.1 (18.5)</w:t>
            </w:r>
          </w:p>
        </w:tc>
        <w:tc>
          <w:tcPr>
            <w:tcW w:w="1710" w:type="dxa"/>
            <w:vAlign w:val="center"/>
          </w:tcPr>
          <w:p w14:paraId="35069840"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24.5 (21.8)</w:t>
            </w:r>
          </w:p>
        </w:tc>
        <w:tc>
          <w:tcPr>
            <w:tcW w:w="450" w:type="dxa"/>
            <w:vAlign w:val="center"/>
          </w:tcPr>
          <w:p w14:paraId="590B9169"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0.60</w:t>
            </w:r>
          </w:p>
        </w:tc>
      </w:tr>
      <w:tr w:rsidR="00D335FC" w:rsidRPr="00F16B11" w14:paraId="16AF0AB0" w14:textId="77777777" w:rsidTr="008762CE">
        <w:trPr>
          <w:jc w:val="center"/>
        </w:trPr>
        <w:tc>
          <w:tcPr>
            <w:tcW w:w="2923" w:type="dxa"/>
            <w:vAlign w:val="center"/>
          </w:tcPr>
          <w:p w14:paraId="5810957B"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25OHD, ng/ml</w:t>
            </w:r>
          </w:p>
        </w:tc>
        <w:tc>
          <w:tcPr>
            <w:tcW w:w="1410" w:type="dxa"/>
            <w:vAlign w:val="center"/>
          </w:tcPr>
          <w:p w14:paraId="0F4380FA"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21.4 ± 11.6</w:t>
            </w:r>
          </w:p>
        </w:tc>
        <w:tc>
          <w:tcPr>
            <w:tcW w:w="1710" w:type="dxa"/>
            <w:vAlign w:val="center"/>
          </w:tcPr>
          <w:p w14:paraId="2BB7C2E0"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19.8 ± 12.7</w:t>
            </w:r>
          </w:p>
        </w:tc>
        <w:tc>
          <w:tcPr>
            <w:tcW w:w="450" w:type="dxa"/>
            <w:vAlign w:val="center"/>
          </w:tcPr>
          <w:p w14:paraId="43BBCCDD"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0.66</w:t>
            </w:r>
          </w:p>
        </w:tc>
      </w:tr>
      <w:tr w:rsidR="00D335FC" w:rsidRPr="00F16B11" w14:paraId="1BA4286C" w14:textId="77777777" w:rsidTr="008762CE">
        <w:trPr>
          <w:jc w:val="center"/>
        </w:trPr>
        <w:tc>
          <w:tcPr>
            <w:tcW w:w="2923" w:type="dxa"/>
            <w:vAlign w:val="center"/>
          </w:tcPr>
          <w:p w14:paraId="5439B197"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Ionized calcium, mg/dl</w:t>
            </w:r>
          </w:p>
        </w:tc>
        <w:tc>
          <w:tcPr>
            <w:tcW w:w="1410" w:type="dxa"/>
            <w:vAlign w:val="center"/>
          </w:tcPr>
          <w:p w14:paraId="445EDBC6"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4.8 ± 0.2</w:t>
            </w:r>
          </w:p>
        </w:tc>
        <w:tc>
          <w:tcPr>
            <w:tcW w:w="1710" w:type="dxa"/>
            <w:vAlign w:val="center"/>
          </w:tcPr>
          <w:p w14:paraId="062226AE"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4.9 ± 0.2</w:t>
            </w:r>
          </w:p>
        </w:tc>
        <w:tc>
          <w:tcPr>
            <w:tcW w:w="450" w:type="dxa"/>
            <w:vAlign w:val="center"/>
          </w:tcPr>
          <w:p w14:paraId="67329C54"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0.32</w:t>
            </w:r>
          </w:p>
        </w:tc>
      </w:tr>
      <w:tr w:rsidR="00D335FC" w:rsidRPr="00F16B11" w14:paraId="6249FD0E" w14:textId="77777777" w:rsidTr="008762CE">
        <w:trPr>
          <w:jc w:val="center"/>
        </w:trPr>
        <w:tc>
          <w:tcPr>
            <w:tcW w:w="2923" w:type="dxa"/>
            <w:vAlign w:val="center"/>
          </w:tcPr>
          <w:p w14:paraId="03AF6BEA"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Creatinine, mg/dl</w:t>
            </w:r>
          </w:p>
        </w:tc>
        <w:tc>
          <w:tcPr>
            <w:tcW w:w="1410" w:type="dxa"/>
            <w:vAlign w:val="center"/>
          </w:tcPr>
          <w:p w14:paraId="7BCB97B7"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0.9 ± 0.4</w:t>
            </w:r>
          </w:p>
        </w:tc>
        <w:tc>
          <w:tcPr>
            <w:tcW w:w="1710" w:type="dxa"/>
            <w:vAlign w:val="center"/>
          </w:tcPr>
          <w:p w14:paraId="4C885206"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0.8 ± 0.3</w:t>
            </w:r>
          </w:p>
        </w:tc>
        <w:tc>
          <w:tcPr>
            <w:tcW w:w="450" w:type="dxa"/>
            <w:vAlign w:val="center"/>
          </w:tcPr>
          <w:p w14:paraId="24BF847A"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0.23</w:t>
            </w:r>
          </w:p>
        </w:tc>
      </w:tr>
      <w:tr w:rsidR="00D335FC" w:rsidRPr="00F16B11" w14:paraId="7F45074E" w14:textId="77777777" w:rsidTr="008762CE">
        <w:trPr>
          <w:jc w:val="center"/>
        </w:trPr>
        <w:tc>
          <w:tcPr>
            <w:tcW w:w="2923" w:type="dxa"/>
            <w:vAlign w:val="center"/>
          </w:tcPr>
          <w:p w14:paraId="4B7DFFE4"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Intact PTH, pg/ml</w:t>
            </w:r>
          </w:p>
        </w:tc>
        <w:tc>
          <w:tcPr>
            <w:tcW w:w="1410" w:type="dxa"/>
            <w:vAlign w:val="center"/>
          </w:tcPr>
          <w:p w14:paraId="3BCEA6B2"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31.7 ± 20.5</w:t>
            </w:r>
          </w:p>
        </w:tc>
        <w:tc>
          <w:tcPr>
            <w:tcW w:w="1710" w:type="dxa"/>
            <w:vAlign w:val="center"/>
          </w:tcPr>
          <w:p w14:paraId="01DDBE7A"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34.5 ± 16</w:t>
            </w:r>
          </w:p>
        </w:tc>
        <w:tc>
          <w:tcPr>
            <w:tcW w:w="450" w:type="dxa"/>
            <w:vAlign w:val="center"/>
          </w:tcPr>
          <w:p w14:paraId="32E1108F"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0.64</w:t>
            </w:r>
          </w:p>
        </w:tc>
      </w:tr>
      <w:tr w:rsidR="00D335FC" w:rsidRPr="00F16B11" w14:paraId="21646A15" w14:textId="77777777" w:rsidTr="008762CE">
        <w:trPr>
          <w:jc w:val="center"/>
        </w:trPr>
        <w:tc>
          <w:tcPr>
            <w:tcW w:w="2923" w:type="dxa"/>
            <w:vAlign w:val="center"/>
          </w:tcPr>
          <w:p w14:paraId="16362583"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Urinary calcium, mg/24 hours</w:t>
            </w:r>
          </w:p>
        </w:tc>
        <w:tc>
          <w:tcPr>
            <w:tcW w:w="1410" w:type="dxa"/>
            <w:vAlign w:val="center"/>
          </w:tcPr>
          <w:p w14:paraId="3649D4E7"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72.2 ± 58.7</w:t>
            </w:r>
          </w:p>
        </w:tc>
        <w:tc>
          <w:tcPr>
            <w:tcW w:w="1710" w:type="dxa"/>
            <w:vAlign w:val="center"/>
          </w:tcPr>
          <w:p w14:paraId="4979723E"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114.1 ± 68.3</w:t>
            </w:r>
          </w:p>
        </w:tc>
        <w:tc>
          <w:tcPr>
            <w:tcW w:w="450" w:type="dxa"/>
            <w:vAlign w:val="center"/>
          </w:tcPr>
          <w:p w14:paraId="53208392"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0.07</w:t>
            </w:r>
          </w:p>
        </w:tc>
      </w:tr>
      <w:tr w:rsidR="00D335FC" w:rsidRPr="00F16B11" w14:paraId="14516917" w14:textId="77777777" w:rsidTr="008762CE">
        <w:trPr>
          <w:jc w:val="center"/>
        </w:trPr>
        <w:tc>
          <w:tcPr>
            <w:tcW w:w="2923" w:type="dxa"/>
            <w:vAlign w:val="center"/>
          </w:tcPr>
          <w:p w14:paraId="24466CA4"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C3, mg/dl</w:t>
            </w:r>
          </w:p>
        </w:tc>
        <w:tc>
          <w:tcPr>
            <w:tcW w:w="1410" w:type="dxa"/>
            <w:vAlign w:val="center"/>
          </w:tcPr>
          <w:p w14:paraId="3CC28E38"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70.6 ± 25.5</w:t>
            </w:r>
          </w:p>
        </w:tc>
        <w:tc>
          <w:tcPr>
            <w:tcW w:w="1710" w:type="dxa"/>
            <w:vAlign w:val="center"/>
          </w:tcPr>
          <w:p w14:paraId="0ED6CE7E"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75.9 ± 30.0</w:t>
            </w:r>
          </w:p>
        </w:tc>
        <w:tc>
          <w:tcPr>
            <w:tcW w:w="450" w:type="dxa"/>
            <w:vAlign w:val="center"/>
          </w:tcPr>
          <w:p w14:paraId="61BC6A93"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0.53</w:t>
            </w:r>
          </w:p>
        </w:tc>
      </w:tr>
      <w:tr w:rsidR="00D335FC" w:rsidRPr="00F16B11" w14:paraId="32E2C01B" w14:textId="77777777" w:rsidTr="008762CE">
        <w:trPr>
          <w:jc w:val="center"/>
        </w:trPr>
        <w:tc>
          <w:tcPr>
            <w:tcW w:w="2923" w:type="dxa"/>
            <w:vAlign w:val="center"/>
          </w:tcPr>
          <w:p w14:paraId="1239491C"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Reduced C3, n (%)</w:t>
            </w:r>
          </w:p>
        </w:tc>
        <w:tc>
          <w:tcPr>
            <w:tcW w:w="1410" w:type="dxa"/>
            <w:vAlign w:val="center"/>
          </w:tcPr>
          <w:p w14:paraId="3AB68207"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16 (84.2)</w:t>
            </w:r>
          </w:p>
        </w:tc>
        <w:tc>
          <w:tcPr>
            <w:tcW w:w="1710" w:type="dxa"/>
            <w:vAlign w:val="center"/>
          </w:tcPr>
          <w:p w14:paraId="06A70BA1"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15 (75)</w:t>
            </w:r>
          </w:p>
        </w:tc>
        <w:tc>
          <w:tcPr>
            <w:tcW w:w="450" w:type="dxa"/>
            <w:vAlign w:val="center"/>
          </w:tcPr>
          <w:p w14:paraId="5175E519"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0.69</w:t>
            </w:r>
          </w:p>
        </w:tc>
      </w:tr>
      <w:tr w:rsidR="00D335FC" w:rsidRPr="00F16B11" w14:paraId="23ADF7BF" w14:textId="77777777" w:rsidTr="008762CE">
        <w:trPr>
          <w:jc w:val="center"/>
        </w:trPr>
        <w:tc>
          <w:tcPr>
            <w:tcW w:w="2923" w:type="dxa"/>
            <w:vAlign w:val="center"/>
          </w:tcPr>
          <w:p w14:paraId="3FF0A559"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lastRenderedPageBreak/>
              <w:t>C4, mg/dl</w:t>
            </w:r>
          </w:p>
        </w:tc>
        <w:tc>
          <w:tcPr>
            <w:tcW w:w="1410" w:type="dxa"/>
            <w:vAlign w:val="center"/>
          </w:tcPr>
          <w:p w14:paraId="0E04237F"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9.1 (5.6-14.3)</w:t>
            </w:r>
          </w:p>
        </w:tc>
        <w:tc>
          <w:tcPr>
            <w:tcW w:w="1710" w:type="dxa"/>
            <w:vAlign w:val="center"/>
          </w:tcPr>
          <w:p w14:paraId="4FD282A5"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8.6 (4.6-19)</w:t>
            </w:r>
          </w:p>
        </w:tc>
        <w:tc>
          <w:tcPr>
            <w:tcW w:w="450" w:type="dxa"/>
            <w:vAlign w:val="center"/>
          </w:tcPr>
          <w:p w14:paraId="59EAE708"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0.83</w:t>
            </w:r>
          </w:p>
        </w:tc>
      </w:tr>
      <w:tr w:rsidR="00D335FC" w:rsidRPr="00F16B11" w14:paraId="0A2C94D5" w14:textId="77777777" w:rsidTr="008762CE">
        <w:trPr>
          <w:jc w:val="center"/>
        </w:trPr>
        <w:tc>
          <w:tcPr>
            <w:tcW w:w="2923" w:type="dxa"/>
            <w:vAlign w:val="center"/>
          </w:tcPr>
          <w:p w14:paraId="64062C0F"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Reduced C4, n (%)</w:t>
            </w:r>
          </w:p>
        </w:tc>
        <w:tc>
          <w:tcPr>
            <w:tcW w:w="1410" w:type="dxa"/>
            <w:vAlign w:val="center"/>
          </w:tcPr>
          <w:p w14:paraId="5BD514D6"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11 (57.9)</w:t>
            </w:r>
          </w:p>
        </w:tc>
        <w:tc>
          <w:tcPr>
            <w:tcW w:w="1710" w:type="dxa"/>
            <w:vAlign w:val="center"/>
          </w:tcPr>
          <w:p w14:paraId="188D4A55"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12 (60)</w:t>
            </w:r>
          </w:p>
        </w:tc>
        <w:tc>
          <w:tcPr>
            <w:tcW w:w="450" w:type="dxa"/>
            <w:vAlign w:val="center"/>
          </w:tcPr>
          <w:p w14:paraId="7F696AA1"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0.89</w:t>
            </w:r>
          </w:p>
        </w:tc>
      </w:tr>
      <w:tr w:rsidR="00D335FC" w:rsidRPr="00F16B11" w14:paraId="2D619791" w14:textId="77777777" w:rsidTr="008762CE">
        <w:trPr>
          <w:jc w:val="center"/>
        </w:trPr>
        <w:tc>
          <w:tcPr>
            <w:tcW w:w="2923" w:type="dxa"/>
            <w:vAlign w:val="center"/>
          </w:tcPr>
          <w:p w14:paraId="6B566A0C"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Positive anti-DNAds, n (%)</w:t>
            </w:r>
          </w:p>
        </w:tc>
        <w:tc>
          <w:tcPr>
            <w:tcW w:w="1410" w:type="dxa"/>
            <w:vAlign w:val="center"/>
          </w:tcPr>
          <w:p w14:paraId="6D2F30D0"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11 (57.9)</w:t>
            </w:r>
          </w:p>
        </w:tc>
        <w:tc>
          <w:tcPr>
            <w:tcW w:w="1710" w:type="dxa"/>
            <w:vAlign w:val="center"/>
          </w:tcPr>
          <w:p w14:paraId="46708F7A"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12 (60)</w:t>
            </w:r>
          </w:p>
        </w:tc>
        <w:tc>
          <w:tcPr>
            <w:tcW w:w="450" w:type="dxa"/>
            <w:vAlign w:val="center"/>
          </w:tcPr>
          <w:p w14:paraId="673D1528"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0.89</w:t>
            </w:r>
          </w:p>
        </w:tc>
      </w:tr>
      <w:tr w:rsidR="00D335FC" w:rsidRPr="00F16B11" w14:paraId="0C4B4920" w14:textId="77777777" w:rsidTr="008762CE">
        <w:trPr>
          <w:jc w:val="center"/>
        </w:trPr>
        <w:tc>
          <w:tcPr>
            <w:tcW w:w="2923" w:type="dxa"/>
            <w:tcBorders>
              <w:bottom w:val="single" w:sz="4" w:space="0" w:color="000000"/>
            </w:tcBorders>
            <w:vAlign w:val="center"/>
          </w:tcPr>
          <w:p w14:paraId="14006F11"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Anti-dsDNA titers</w:t>
            </w:r>
          </w:p>
        </w:tc>
        <w:tc>
          <w:tcPr>
            <w:tcW w:w="1410" w:type="dxa"/>
            <w:tcBorders>
              <w:bottom w:val="single" w:sz="4" w:space="0" w:color="000000"/>
            </w:tcBorders>
            <w:vAlign w:val="center"/>
          </w:tcPr>
          <w:p w14:paraId="6FB1AD66"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85.5 (23-200)</w:t>
            </w:r>
          </w:p>
        </w:tc>
        <w:tc>
          <w:tcPr>
            <w:tcW w:w="1710" w:type="dxa"/>
            <w:tcBorders>
              <w:bottom w:val="single" w:sz="4" w:space="0" w:color="000000"/>
            </w:tcBorders>
            <w:vAlign w:val="center"/>
          </w:tcPr>
          <w:p w14:paraId="0E56142D"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52.5 (10.6-109.5)</w:t>
            </w:r>
          </w:p>
        </w:tc>
        <w:tc>
          <w:tcPr>
            <w:tcW w:w="450" w:type="dxa"/>
            <w:tcBorders>
              <w:bottom w:val="single" w:sz="4" w:space="0" w:color="000000"/>
            </w:tcBorders>
            <w:vAlign w:val="center"/>
          </w:tcPr>
          <w:p w14:paraId="1750A80A"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0.31</w:t>
            </w:r>
          </w:p>
        </w:tc>
      </w:tr>
    </w:tbl>
    <w:p w14:paraId="3F40FAA9" w14:textId="77777777" w:rsidR="00D335FC" w:rsidRPr="00F16B11" w:rsidRDefault="00D335FC" w:rsidP="00D335FC">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i/>
          <w:sz w:val="24"/>
          <w:szCs w:val="24"/>
        </w:rPr>
        <w:t>Values were expressed as mean ± standard deviation, median (interquartile range), and n (%).</w:t>
      </w:r>
    </w:p>
    <w:p w14:paraId="3ADCFB6A" w14:textId="77777777" w:rsidR="00D335FC" w:rsidRPr="00F16B11" w:rsidRDefault="00D335FC" w:rsidP="00D335FC">
      <w:pPr>
        <w:spacing w:line="480" w:lineRule="auto"/>
        <w:rPr>
          <w:rFonts w:ascii="Times New Roman" w:eastAsia="Times New Roman" w:hAnsi="Times New Roman" w:cs="Times New Roman"/>
          <w:i/>
          <w:sz w:val="24"/>
          <w:szCs w:val="24"/>
        </w:rPr>
      </w:pPr>
      <w:r w:rsidRPr="00F16B11">
        <w:rPr>
          <w:rFonts w:ascii="Times New Roman" w:eastAsia="Times New Roman" w:hAnsi="Times New Roman" w:cs="Times New Roman"/>
          <w:i/>
          <w:sz w:val="24"/>
          <w:szCs w:val="24"/>
        </w:rPr>
        <w:t xml:space="preserve">HD: high-dose group; RD: routine-dose group; SDI: </w:t>
      </w:r>
      <w:r w:rsidRPr="00F16B11">
        <w:rPr>
          <w:rFonts w:ascii="Times New Roman" w:eastAsia="Times New Roman" w:hAnsi="Times New Roman" w:cs="Times New Roman"/>
          <w:sz w:val="24"/>
          <w:szCs w:val="24"/>
        </w:rPr>
        <w:t>Systemic Lupus International Collaboration Clinics -SLICC Damage Index</w:t>
      </w:r>
      <w:r w:rsidRPr="00F16B11">
        <w:rPr>
          <w:rFonts w:ascii="Times New Roman" w:eastAsia="Times New Roman" w:hAnsi="Times New Roman" w:cs="Times New Roman"/>
          <w:i/>
          <w:sz w:val="24"/>
          <w:szCs w:val="24"/>
        </w:rPr>
        <w:t>; SLEDAI: Systemic Lupus Erythematosus Disease Activity Index;</w:t>
      </w:r>
      <w:r w:rsidRPr="00F16B11">
        <w:rPr>
          <w:rFonts w:ascii="Times New Roman" w:eastAsia="Times New Roman" w:hAnsi="Times New Roman" w:cs="Times New Roman"/>
          <w:sz w:val="24"/>
          <w:szCs w:val="24"/>
        </w:rPr>
        <w:t xml:space="preserve"> </w:t>
      </w:r>
      <w:r w:rsidRPr="00F16B11">
        <w:rPr>
          <w:rFonts w:ascii="Times New Roman" w:eastAsia="Times New Roman" w:hAnsi="Times New Roman" w:cs="Times New Roman"/>
          <w:i/>
          <w:sz w:val="24"/>
          <w:szCs w:val="24"/>
        </w:rPr>
        <w:t>25(OH)D: 25-hydroxivitamin D; PTH: parathyroid hormone; anti-dsDNA: anti-double-stranded DNA</w:t>
      </w:r>
    </w:p>
    <w:p w14:paraId="4AA5D910" w14:textId="77777777" w:rsidR="00D335FC" w:rsidRPr="00F16B11" w:rsidRDefault="00D335FC" w:rsidP="00D335FC">
      <w:pPr>
        <w:spacing w:before="280" w:after="280" w:line="480" w:lineRule="auto"/>
        <w:jc w:val="both"/>
        <w:rPr>
          <w:rFonts w:ascii="Times New Roman" w:eastAsia="Times New Roman" w:hAnsi="Times New Roman" w:cs="Times New Roman"/>
          <w:color w:val="000000"/>
          <w:sz w:val="24"/>
          <w:szCs w:val="24"/>
        </w:rPr>
      </w:pPr>
    </w:p>
    <w:p w14:paraId="0E4576B7" w14:textId="5785268F" w:rsidR="00B83901" w:rsidRPr="00F16B11" w:rsidRDefault="008D3E27" w:rsidP="00F16B11">
      <w:pPr>
        <w:spacing w:before="240" w:after="240"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br/>
      </w:r>
    </w:p>
    <w:p w14:paraId="19E80DB2" w14:textId="77777777" w:rsidR="00B83901" w:rsidRPr="00F16B11" w:rsidRDefault="00B83901" w:rsidP="00F16B11">
      <w:pPr>
        <w:spacing w:before="280" w:after="280" w:line="480" w:lineRule="auto"/>
        <w:rPr>
          <w:rFonts w:ascii="Times New Roman" w:eastAsia="Times New Roman" w:hAnsi="Times New Roman" w:cs="Times New Roman"/>
          <w:strike/>
          <w:sz w:val="24"/>
          <w:szCs w:val="24"/>
        </w:rPr>
      </w:pPr>
    </w:p>
    <w:p w14:paraId="76621684" w14:textId="77777777" w:rsidR="00B83901" w:rsidRPr="00F16B11" w:rsidRDefault="00B83901" w:rsidP="00F16B11">
      <w:pPr>
        <w:spacing w:before="280" w:after="280" w:line="480" w:lineRule="auto"/>
        <w:rPr>
          <w:rFonts w:ascii="Times New Roman" w:eastAsia="Times New Roman" w:hAnsi="Times New Roman" w:cs="Times New Roman"/>
          <w:sz w:val="24"/>
          <w:szCs w:val="24"/>
        </w:rPr>
      </w:pPr>
    </w:p>
    <w:p w14:paraId="2C06B047" w14:textId="77777777" w:rsidR="00B83901" w:rsidRDefault="00B83901" w:rsidP="00F16B11">
      <w:pPr>
        <w:spacing w:line="480" w:lineRule="auto"/>
        <w:rPr>
          <w:rFonts w:ascii="Times New Roman" w:eastAsia="Times New Roman" w:hAnsi="Times New Roman" w:cs="Times New Roman"/>
          <w:color w:val="000000"/>
          <w:sz w:val="24"/>
          <w:szCs w:val="24"/>
        </w:rPr>
      </w:pPr>
    </w:p>
    <w:p w14:paraId="6E24B434" w14:textId="77777777" w:rsidR="00D335FC" w:rsidRDefault="00D335FC" w:rsidP="00F16B11">
      <w:pPr>
        <w:spacing w:line="480" w:lineRule="auto"/>
        <w:rPr>
          <w:rFonts w:ascii="Times New Roman" w:eastAsia="Times New Roman" w:hAnsi="Times New Roman" w:cs="Times New Roman"/>
          <w:color w:val="000000"/>
          <w:sz w:val="24"/>
          <w:szCs w:val="24"/>
        </w:rPr>
      </w:pPr>
    </w:p>
    <w:p w14:paraId="678F5C39" w14:textId="77777777" w:rsidR="00D335FC" w:rsidRDefault="00D335FC" w:rsidP="00F16B11">
      <w:pPr>
        <w:spacing w:line="480" w:lineRule="auto"/>
        <w:rPr>
          <w:rFonts w:ascii="Times New Roman" w:eastAsia="Times New Roman" w:hAnsi="Times New Roman" w:cs="Times New Roman"/>
          <w:color w:val="000000"/>
          <w:sz w:val="24"/>
          <w:szCs w:val="24"/>
        </w:rPr>
      </w:pPr>
    </w:p>
    <w:p w14:paraId="26B8F4E5" w14:textId="77777777" w:rsidR="00D335FC" w:rsidRPr="00F16B11" w:rsidRDefault="00D335FC" w:rsidP="00D335FC">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lastRenderedPageBreak/>
        <w:t>Table 2. Comparison of clinical and laboratory characteristics between the vitamin D supplementation groups - 'High Dose' vs 'Routine Dose' - at the end of the follow-up (24 weeks)</w:t>
      </w:r>
    </w:p>
    <w:tbl>
      <w:tblPr>
        <w:tblStyle w:val="a0"/>
        <w:tblW w:w="7466" w:type="dxa"/>
        <w:jc w:val="center"/>
        <w:tblInd w:w="0" w:type="dxa"/>
        <w:tblLayout w:type="fixed"/>
        <w:tblLook w:val="0400" w:firstRow="0" w:lastRow="0" w:firstColumn="0" w:lastColumn="0" w:noHBand="0" w:noVBand="1"/>
      </w:tblPr>
      <w:tblGrid>
        <w:gridCol w:w="3645"/>
        <w:gridCol w:w="1410"/>
        <w:gridCol w:w="1590"/>
        <w:gridCol w:w="821"/>
      </w:tblGrid>
      <w:tr w:rsidR="00D335FC" w:rsidRPr="00F16B11" w14:paraId="2133E758" w14:textId="77777777" w:rsidTr="008762CE">
        <w:trPr>
          <w:tblHeader/>
          <w:jc w:val="center"/>
        </w:trPr>
        <w:tc>
          <w:tcPr>
            <w:tcW w:w="3645" w:type="dxa"/>
            <w:tcBorders>
              <w:top w:val="single" w:sz="4" w:space="0" w:color="000000"/>
              <w:bottom w:val="single" w:sz="4" w:space="0" w:color="000000"/>
            </w:tcBorders>
            <w:vAlign w:val="center"/>
          </w:tcPr>
          <w:p w14:paraId="2097B51C"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Characteristics</w:t>
            </w:r>
          </w:p>
        </w:tc>
        <w:tc>
          <w:tcPr>
            <w:tcW w:w="1410" w:type="dxa"/>
            <w:tcBorders>
              <w:top w:val="single" w:sz="4" w:space="0" w:color="000000"/>
              <w:bottom w:val="single" w:sz="4" w:space="0" w:color="000000"/>
            </w:tcBorders>
            <w:vAlign w:val="center"/>
          </w:tcPr>
          <w:p w14:paraId="770BBB53" w14:textId="77777777" w:rsidR="00D335FC" w:rsidRPr="00F16B11" w:rsidRDefault="00D335FC" w:rsidP="008762CE">
            <w:pPr>
              <w:spacing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HD group</w:t>
            </w:r>
          </w:p>
          <w:p w14:paraId="181E5C49" w14:textId="77777777" w:rsidR="00D335FC" w:rsidRPr="00F16B11" w:rsidRDefault="00D335FC" w:rsidP="008762CE">
            <w:pPr>
              <w:spacing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(n=19)</w:t>
            </w:r>
          </w:p>
        </w:tc>
        <w:tc>
          <w:tcPr>
            <w:tcW w:w="1590" w:type="dxa"/>
            <w:tcBorders>
              <w:top w:val="single" w:sz="4" w:space="0" w:color="000000"/>
              <w:bottom w:val="single" w:sz="4" w:space="0" w:color="000000"/>
            </w:tcBorders>
            <w:vAlign w:val="center"/>
          </w:tcPr>
          <w:p w14:paraId="5FC71D2E" w14:textId="77777777" w:rsidR="00D335FC" w:rsidRPr="00F16B11" w:rsidRDefault="00D335FC" w:rsidP="008762CE">
            <w:pPr>
              <w:spacing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RD group</w:t>
            </w:r>
          </w:p>
          <w:p w14:paraId="74B7648B" w14:textId="77777777" w:rsidR="00D335FC" w:rsidRPr="00F16B11" w:rsidRDefault="00D335FC" w:rsidP="008762CE">
            <w:pPr>
              <w:spacing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(n=20)</w:t>
            </w:r>
          </w:p>
        </w:tc>
        <w:tc>
          <w:tcPr>
            <w:tcW w:w="821" w:type="dxa"/>
            <w:tcBorders>
              <w:top w:val="single" w:sz="4" w:space="0" w:color="000000"/>
              <w:bottom w:val="single" w:sz="4" w:space="0" w:color="000000"/>
            </w:tcBorders>
            <w:vAlign w:val="center"/>
          </w:tcPr>
          <w:p w14:paraId="3A992BD9" w14:textId="77777777" w:rsidR="00D335FC" w:rsidRPr="00F16B11" w:rsidRDefault="00D335FC" w:rsidP="008762CE">
            <w:pPr>
              <w:spacing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P</w:t>
            </w:r>
          </w:p>
        </w:tc>
      </w:tr>
      <w:tr w:rsidR="00D335FC" w:rsidRPr="00F16B11" w14:paraId="18A63B1F" w14:textId="77777777" w:rsidTr="008762CE">
        <w:trPr>
          <w:jc w:val="center"/>
        </w:trPr>
        <w:tc>
          <w:tcPr>
            <w:tcW w:w="3645" w:type="dxa"/>
            <w:tcBorders>
              <w:top w:val="single" w:sz="4" w:space="0" w:color="000000"/>
            </w:tcBorders>
            <w:vAlign w:val="center"/>
          </w:tcPr>
          <w:p w14:paraId="5F3EE7B2"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SLEDAI</w:t>
            </w:r>
          </w:p>
        </w:tc>
        <w:tc>
          <w:tcPr>
            <w:tcW w:w="1410" w:type="dxa"/>
            <w:tcBorders>
              <w:top w:val="single" w:sz="4" w:space="0" w:color="000000"/>
            </w:tcBorders>
            <w:vAlign w:val="center"/>
          </w:tcPr>
          <w:p w14:paraId="0B4B7182" w14:textId="77777777" w:rsidR="00D335FC" w:rsidRPr="00F16B11" w:rsidRDefault="00D335FC" w:rsidP="008762CE">
            <w:pPr>
              <w:spacing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2 (0-6)</w:t>
            </w:r>
          </w:p>
        </w:tc>
        <w:tc>
          <w:tcPr>
            <w:tcW w:w="1590" w:type="dxa"/>
            <w:tcBorders>
              <w:top w:val="single" w:sz="4" w:space="0" w:color="000000"/>
            </w:tcBorders>
            <w:vAlign w:val="center"/>
          </w:tcPr>
          <w:p w14:paraId="684E3388" w14:textId="77777777" w:rsidR="00D335FC" w:rsidRPr="00F16B11" w:rsidRDefault="00D335FC" w:rsidP="008762CE">
            <w:pPr>
              <w:spacing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0 (0-4)</w:t>
            </w:r>
          </w:p>
        </w:tc>
        <w:tc>
          <w:tcPr>
            <w:tcW w:w="821" w:type="dxa"/>
            <w:tcBorders>
              <w:top w:val="single" w:sz="4" w:space="0" w:color="000000"/>
            </w:tcBorders>
            <w:vAlign w:val="center"/>
          </w:tcPr>
          <w:p w14:paraId="1B1BE829" w14:textId="77777777" w:rsidR="00D335FC" w:rsidRPr="00F16B11" w:rsidRDefault="00D335FC" w:rsidP="008762CE">
            <w:pPr>
              <w:spacing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0.76</w:t>
            </w:r>
          </w:p>
        </w:tc>
      </w:tr>
      <w:tr w:rsidR="00D335FC" w:rsidRPr="00F16B11" w14:paraId="451AFE8E" w14:textId="77777777" w:rsidTr="008762CE">
        <w:trPr>
          <w:jc w:val="center"/>
        </w:trPr>
        <w:tc>
          <w:tcPr>
            <w:tcW w:w="3645" w:type="dxa"/>
            <w:vAlign w:val="center"/>
          </w:tcPr>
          <w:p w14:paraId="3C36E004"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ΔSLEDAI</w:t>
            </w:r>
          </w:p>
        </w:tc>
        <w:tc>
          <w:tcPr>
            <w:tcW w:w="1410" w:type="dxa"/>
            <w:vAlign w:val="center"/>
          </w:tcPr>
          <w:p w14:paraId="203CC56F" w14:textId="77777777" w:rsidR="00D335FC" w:rsidRPr="00F16B11" w:rsidRDefault="00D335FC" w:rsidP="008762CE">
            <w:pPr>
              <w:spacing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14 (7.5-22.5)</w:t>
            </w:r>
          </w:p>
        </w:tc>
        <w:tc>
          <w:tcPr>
            <w:tcW w:w="1590" w:type="dxa"/>
            <w:vAlign w:val="center"/>
          </w:tcPr>
          <w:p w14:paraId="566EEDD8" w14:textId="77777777" w:rsidR="00D335FC" w:rsidRPr="00F16B11" w:rsidRDefault="00D335FC" w:rsidP="008762CE">
            <w:pPr>
              <w:spacing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12 (8-21)</w:t>
            </w:r>
          </w:p>
        </w:tc>
        <w:tc>
          <w:tcPr>
            <w:tcW w:w="821" w:type="dxa"/>
            <w:vAlign w:val="center"/>
          </w:tcPr>
          <w:p w14:paraId="78A74BFC" w14:textId="77777777" w:rsidR="00D335FC" w:rsidRPr="00F16B11" w:rsidRDefault="00D335FC" w:rsidP="008762CE">
            <w:pPr>
              <w:spacing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0.23</w:t>
            </w:r>
          </w:p>
        </w:tc>
      </w:tr>
      <w:tr w:rsidR="00D335FC" w:rsidRPr="00F16B11" w14:paraId="7C24B55C" w14:textId="77777777" w:rsidTr="008762CE">
        <w:trPr>
          <w:jc w:val="center"/>
        </w:trPr>
        <w:tc>
          <w:tcPr>
            <w:tcW w:w="3645" w:type="dxa"/>
            <w:vAlign w:val="center"/>
          </w:tcPr>
          <w:p w14:paraId="37A458BD"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Cumulative dose of GC, mg</w:t>
            </w:r>
          </w:p>
        </w:tc>
        <w:tc>
          <w:tcPr>
            <w:tcW w:w="1410" w:type="dxa"/>
            <w:vAlign w:val="center"/>
          </w:tcPr>
          <w:p w14:paraId="36ED2B9E" w14:textId="77777777" w:rsidR="00D335FC" w:rsidRPr="00F16B11" w:rsidRDefault="00D335FC" w:rsidP="008762CE">
            <w:pPr>
              <w:spacing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8,775 ± 3,115</w:t>
            </w:r>
          </w:p>
        </w:tc>
        <w:tc>
          <w:tcPr>
            <w:tcW w:w="1590" w:type="dxa"/>
            <w:vAlign w:val="center"/>
          </w:tcPr>
          <w:p w14:paraId="43AF27E3" w14:textId="77777777" w:rsidR="00D335FC" w:rsidRPr="00F16B11" w:rsidRDefault="00D335FC" w:rsidP="008762CE">
            <w:pPr>
              <w:spacing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9,251 ± 3,582</w:t>
            </w:r>
          </w:p>
        </w:tc>
        <w:tc>
          <w:tcPr>
            <w:tcW w:w="821" w:type="dxa"/>
            <w:vAlign w:val="center"/>
          </w:tcPr>
          <w:p w14:paraId="319A00FD" w14:textId="77777777" w:rsidR="00D335FC" w:rsidRPr="00F16B11" w:rsidRDefault="00D335FC" w:rsidP="008762CE">
            <w:pPr>
              <w:spacing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0.66</w:t>
            </w:r>
          </w:p>
        </w:tc>
      </w:tr>
      <w:tr w:rsidR="00D335FC" w:rsidRPr="00F16B11" w14:paraId="518CA01F" w14:textId="77777777" w:rsidTr="008762CE">
        <w:trPr>
          <w:jc w:val="center"/>
        </w:trPr>
        <w:tc>
          <w:tcPr>
            <w:tcW w:w="3645" w:type="dxa"/>
            <w:vAlign w:val="center"/>
          </w:tcPr>
          <w:p w14:paraId="274E8741"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Daily dose of prednisone, mg/day</w:t>
            </w:r>
          </w:p>
        </w:tc>
        <w:tc>
          <w:tcPr>
            <w:tcW w:w="1410" w:type="dxa"/>
            <w:vAlign w:val="center"/>
          </w:tcPr>
          <w:p w14:paraId="0AA793C5" w14:textId="77777777" w:rsidR="00D335FC" w:rsidRPr="00F16B11" w:rsidRDefault="00D335FC" w:rsidP="008762CE">
            <w:pPr>
              <w:spacing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21.3 ± 9.6</w:t>
            </w:r>
          </w:p>
        </w:tc>
        <w:tc>
          <w:tcPr>
            <w:tcW w:w="1590" w:type="dxa"/>
            <w:vAlign w:val="center"/>
          </w:tcPr>
          <w:p w14:paraId="59DCA729" w14:textId="77777777" w:rsidR="00D335FC" w:rsidRPr="00F16B11" w:rsidRDefault="00D335FC" w:rsidP="008762CE">
            <w:pPr>
              <w:spacing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23 ± 16.8</w:t>
            </w:r>
          </w:p>
        </w:tc>
        <w:tc>
          <w:tcPr>
            <w:tcW w:w="821" w:type="dxa"/>
            <w:vAlign w:val="center"/>
          </w:tcPr>
          <w:p w14:paraId="0105AB63" w14:textId="77777777" w:rsidR="00D335FC" w:rsidRPr="00F16B11" w:rsidRDefault="00D335FC" w:rsidP="008762CE">
            <w:pPr>
              <w:spacing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0.70</w:t>
            </w:r>
          </w:p>
        </w:tc>
      </w:tr>
      <w:tr w:rsidR="00D335FC" w:rsidRPr="00F16B11" w14:paraId="6A59CE06" w14:textId="77777777" w:rsidTr="008762CE">
        <w:trPr>
          <w:jc w:val="center"/>
        </w:trPr>
        <w:tc>
          <w:tcPr>
            <w:tcW w:w="3645" w:type="dxa"/>
            <w:vAlign w:val="center"/>
          </w:tcPr>
          <w:p w14:paraId="1AE7B715"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Frequency of nfections, n (%)</w:t>
            </w:r>
          </w:p>
        </w:tc>
        <w:tc>
          <w:tcPr>
            <w:tcW w:w="1410" w:type="dxa"/>
            <w:vAlign w:val="center"/>
          </w:tcPr>
          <w:p w14:paraId="46675C32" w14:textId="77777777" w:rsidR="00D335FC" w:rsidRPr="00F16B11" w:rsidRDefault="00D335FC" w:rsidP="008762CE">
            <w:pPr>
              <w:spacing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5 (26.3)</w:t>
            </w:r>
          </w:p>
        </w:tc>
        <w:tc>
          <w:tcPr>
            <w:tcW w:w="1590" w:type="dxa"/>
            <w:vAlign w:val="center"/>
          </w:tcPr>
          <w:p w14:paraId="0648D384" w14:textId="77777777" w:rsidR="00D335FC" w:rsidRPr="00F16B11" w:rsidRDefault="00D335FC" w:rsidP="008762CE">
            <w:pPr>
              <w:spacing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6 (30)</w:t>
            </w:r>
          </w:p>
        </w:tc>
        <w:tc>
          <w:tcPr>
            <w:tcW w:w="821" w:type="dxa"/>
            <w:vAlign w:val="center"/>
          </w:tcPr>
          <w:p w14:paraId="32E73144" w14:textId="77777777" w:rsidR="00D335FC" w:rsidRPr="00F16B11" w:rsidRDefault="00D335FC" w:rsidP="008762CE">
            <w:pPr>
              <w:spacing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0.72</w:t>
            </w:r>
          </w:p>
        </w:tc>
      </w:tr>
      <w:tr w:rsidR="00D335FC" w:rsidRPr="00F16B11" w14:paraId="2D944371" w14:textId="77777777" w:rsidTr="008762CE">
        <w:trPr>
          <w:jc w:val="center"/>
        </w:trPr>
        <w:tc>
          <w:tcPr>
            <w:tcW w:w="3645" w:type="dxa"/>
            <w:vAlign w:val="center"/>
          </w:tcPr>
          <w:p w14:paraId="1241B198"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25OHD, ng/ml</w:t>
            </w:r>
          </w:p>
        </w:tc>
        <w:tc>
          <w:tcPr>
            <w:tcW w:w="1410" w:type="dxa"/>
            <w:vAlign w:val="center"/>
          </w:tcPr>
          <w:p w14:paraId="7D46DFE5" w14:textId="77777777" w:rsidR="00D335FC" w:rsidRPr="00F16B11" w:rsidRDefault="00D335FC" w:rsidP="008762CE">
            <w:pPr>
              <w:spacing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37 (30.2-49.3)</w:t>
            </w:r>
          </w:p>
        </w:tc>
        <w:tc>
          <w:tcPr>
            <w:tcW w:w="1590" w:type="dxa"/>
            <w:vAlign w:val="center"/>
          </w:tcPr>
          <w:p w14:paraId="23083F91" w14:textId="77777777" w:rsidR="00D335FC" w:rsidRPr="00F16B11" w:rsidRDefault="00D335FC" w:rsidP="008762CE">
            <w:pPr>
              <w:spacing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24.0 (23.7-32.6)</w:t>
            </w:r>
          </w:p>
        </w:tc>
        <w:tc>
          <w:tcPr>
            <w:tcW w:w="821" w:type="dxa"/>
            <w:vAlign w:val="center"/>
          </w:tcPr>
          <w:p w14:paraId="0E7B5C65" w14:textId="77777777" w:rsidR="00D335FC" w:rsidRPr="00F16B11" w:rsidRDefault="00D335FC" w:rsidP="008762CE">
            <w:pPr>
              <w:spacing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&lt;0.001</w:t>
            </w:r>
          </w:p>
        </w:tc>
      </w:tr>
      <w:tr w:rsidR="00D335FC" w:rsidRPr="00F16B11" w14:paraId="23393C3A" w14:textId="77777777" w:rsidTr="008762CE">
        <w:trPr>
          <w:jc w:val="center"/>
        </w:trPr>
        <w:tc>
          <w:tcPr>
            <w:tcW w:w="3645" w:type="dxa"/>
            <w:vAlign w:val="center"/>
          </w:tcPr>
          <w:p w14:paraId="2BEC1B19"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Δ25OHD, ng/ml</w:t>
            </w:r>
          </w:p>
        </w:tc>
        <w:tc>
          <w:tcPr>
            <w:tcW w:w="1410" w:type="dxa"/>
            <w:vAlign w:val="center"/>
          </w:tcPr>
          <w:p w14:paraId="1BD847C8" w14:textId="77777777" w:rsidR="00D335FC" w:rsidRPr="00F16B11" w:rsidRDefault="00D335FC" w:rsidP="008762CE">
            <w:pPr>
              <w:spacing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15.4 (6.5-31)</w:t>
            </w:r>
          </w:p>
        </w:tc>
        <w:tc>
          <w:tcPr>
            <w:tcW w:w="1590" w:type="dxa"/>
            <w:vAlign w:val="center"/>
          </w:tcPr>
          <w:p w14:paraId="534671E3" w14:textId="77777777" w:rsidR="00D335FC" w:rsidRPr="00F16B11" w:rsidRDefault="00D335FC" w:rsidP="008762CE">
            <w:pPr>
              <w:spacing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7.9 (3-14.9)</w:t>
            </w:r>
          </w:p>
        </w:tc>
        <w:tc>
          <w:tcPr>
            <w:tcW w:w="821" w:type="dxa"/>
            <w:vAlign w:val="center"/>
          </w:tcPr>
          <w:p w14:paraId="508BEE13" w14:textId="77777777" w:rsidR="00D335FC" w:rsidRPr="00F16B11" w:rsidRDefault="00D335FC" w:rsidP="008762CE">
            <w:pPr>
              <w:spacing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0.02</w:t>
            </w:r>
          </w:p>
        </w:tc>
      </w:tr>
      <w:tr w:rsidR="00D335FC" w:rsidRPr="00F16B11" w14:paraId="6A322893" w14:textId="77777777" w:rsidTr="008762CE">
        <w:trPr>
          <w:jc w:val="center"/>
        </w:trPr>
        <w:tc>
          <w:tcPr>
            <w:tcW w:w="3645" w:type="dxa"/>
            <w:vAlign w:val="center"/>
          </w:tcPr>
          <w:p w14:paraId="65C83112"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Ionized calcium, mg/dl</w:t>
            </w:r>
          </w:p>
        </w:tc>
        <w:tc>
          <w:tcPr>
            <w:tcW w:w="1410" w:type="dxa"/>
            <w:vAlign w:val="center"/>
          </w:tcPr>
          <w:p w14:paraId="4C0F5BA0" w14:textId="77777777" w:rsidR="00D335FC" w:rsidRPr="00F16B11" w:rsidRDefault="00D335FC" w:rsidP="008762CE">
            <w:pPr>
              <w:spacing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5.1 ± 0.2</w:t>
            </w:r>
          </w:p>
        </w:tc>
        <w:tc>
          <w:tcPr>
            <w:tcW w:w="1590" w:type="dxa"/>
            <w:vAlign w:val="center"/>
          </w:tcPr>
          <w:p w14:paraId="043AEC09" w14:textId="77777777" w:rsidR="00D335FC" w:rsidRPr="00F16B11" w:rsidRDefault="00D335FC" w:rsidP="008762CE">
            <w:pPr>
              <w:spacing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5 ± 0.2</w:t>
            </w:r>
          </w:p>
        </w:tc>
        <w:tc>
          <w:tcPr>
            <w:tcW w:w="821" w:type="dxa"/>
            <w:vAlign w:val="center"/>
          </w:tcPr>
          <w:p w14:paraId="637DBFC1" w14:textId="77777777" w:rsidR="00D335FC" w:rsidRPr="00F16B11" w:rsidRDefault="00D335FC" w:rsidP="008762CE">
            <w:pPr>
              <w:spacing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0.03</w:t>
            </w:r>
          </w:p>
        </w:tc>
      </w:tr>
      <w:tr w:rsidR="00D335FC" w:rsidRPr="00F16B11" w14:paraId="63B7C05C" w14:textId="77777777" w:rsidTr="008762CE">
        <w:trPr>
          <w:jc w:val="center"/>
        </w:trPr>
        <w:tc>
          <w:tcPr>
            <w:tcW w:w="3645" w:type="dxa"/>
            <w:vAlign w:val="center"/>
          </w:tcPr>
          <w:p w14:paraId="214B8AF6"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ΔIonized calcium, mg/dl</w:t>
            </w:r>
          </w:p>
        </w:tc>
        <w:tc>
          <w:tcPr>
            <w:tcW w:w="1410" w:type="dxa"/>
            <w:vAlign w:val="center"/>
          </w:tcPr>
          <w:p w14:paraId="6A1EC6FF" w14:textId="77777777" w:rsidR="00D335FC" w:rsidRPr="00F16B11" w:rsidRDefault="00D335FC" w:rsidP="008762CE">
            <w:pPr>
              <w:spacing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0.3 ± 0.3</w:t>
            </w:r>
          </w:p>
        </w:tc>
        <w:tc>
          <w:tcPr>
            <w:tcW w:w="1590" w:type="dxa"/>
            <w:vAlign w:val="center"/>
          </w:tcPr>
          <w:p w14:paraId="39C5175A" w14:textId="77777777" w:rsidR="00D335FC" w:rsidRPr="00F16B11" w:rsidRDefault="00D335FC" w:rsidP="008762CE">
            <w:pPr>
              <w:spacing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0.1 ± 0.2</w:t>
            </w:r>
          </w:p>
        </w:tc>
        <w:tc>
          <w:tcPr>
            <w:tcW w:w="821" w:type="dxa"/>
            <w:vAlign w:val="center"/>
          </w:tcPr>
          <w:p w14:paraId="591DB50E" w14:textId="77777777" w:rsidR="00D335FC" w:rsidRPr="00F16B11" w:rsidRDefault="00D335FC" w:rsidP="008762CE">
            <w:pPr>
              <w:spacing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0.03</w:t>
            </w:r>
          </w:p>
        </w:tc>
      </w:tr>
      <w:tr w:rsidR="00D335FC" w:rsidRPr="00F16B11" w14:paraId="00F4F5E3" w14:textId="77777777" w:rsidTr="008762CE">
        <w:trPr>
          <w:jc w:val="center"/>
        </w:trPr>
        <w:tc>
          <w:tcPr>
            <w:tcW w:w="3645" w:type="dxa"/>
            <w:vAlign w:val="center"/>
          </w:tcPr>
          <w:p w14:paraId="1B5B874E"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Creatinine, mg/dl</w:t>
            </w:r>
          </w:p>
        </w:tc>
        <w:tc>
          <w:tcPr>
            <w:tcW w:w="1410" w:type="dxa"/>
            <w:vAlign w:val="center"/>
          </w:tcPr>
          <w:p w14:paraId="216274CF" w14:textId="77777777" w:rsidR="00D335FC" w:rsidRPr="00F16B11" w:rsidRDefault="00D335FC" w:rsidP="008762CE">
            <w:pPr>
              <w:spacing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0.9 ± 0.3</w:t>
            </w:r>
          </w:p>
        </w:tc>
        <w:tc>
          <w:tcPr>
            <w:tcW w:w="1590" w:type="dxa"/>
            <w:vAlign w:val="center"/>
          </w:tcPr>
          <w:p w14:paraId="5927E8E3" w14:textId="77777777" w:rsidR="00D335FC" w:rsidRPr="00F16B11" w:rsidRDefault="00D335FC" w:rsidP="008762CE">
            <w:pPr>
              <w:spacing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0.8 ± 0.2</w:t>
            </w:r>
          </w:p>
        </w:tc>
        <w:tc>
          <w:tcPr>
            <w:tcW w:w="821" w:type="dxa"/>
            <w:vAlign w:val="center"/>
          </w:tcPr>
          <w:p w14:paraId="6B1E3570" w14:textId="77777777" w:rsidR="00D335FC" w:rsidRPr="00F16B11" w:rsidRDefault="00D335FC" w:rsidP="008762CE">
            <w:pPr>
              <w:spacing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0.18</w:t>
            </w:r>
          </w:p>
        </w:tc>
      </w:tr>
      <w:tr w:rsidR="00D335FC" w:rsidRPr="00F16B11" w14:paraId="35DF0E56" w14:textId="77777777" w:rsidTr="008762CE">
        <w:trPr>
          <w:jc w:val="center"/>
        </w:trPr>
        <w:tc>
          <w:tcPr>
            <w:tcW w:w="3645" w:type="dxa"/>
            <w:vAlign w:val="center"/>
          </w:tcPr>
          <w:p w14:paraId="5089C407"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Intact PTH, pg/ml</w:t>
            </w:r>
          </w:p>
        </w:tc>
        <w:tc>
          <w:tcPr>
            <w:tcW w:w="1410" w:type="dxa"/>
            <w:vAlign w:val="center"/>
          </w:tcPr>
          <w:p w14:paraId="50323415" w14:textId="77777777" w:rsidR="00D335FC" w:rsidRPr="00F16B11" w:rsidRDefault="00D335FC" w:rsidP="008762CE">
            <w:pPr>
              <w:spacing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33.1 ± 12.1</w:t>
            </w:r>
          </w:p>
        </w:tc>
        <w:tc>
          <w:tcPr>
            <w:tcW w:w="1590" w:type="dxa"/>
            <w:vAlign w:val="center"/>
          </w:tcPr>
          <w:p w14:paraId="3104F261" w14:textId="77777777" w:rsidR="00D335FC" w:rsidRPr="00F16B11" w:rsidRDefault="00D335FC" w:rsidP="008762CE">
            <w:pPr>
              <w:spacing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32 ± 13.5</w:t>
            </w:r>
          </w:p>
        </w:tc>
        <w:tc>
          <w:tcPr>
            <w:tcW w:w="821" w:type="dxa"/>
            <w:vAlign w:val="center"/>
          </w:tcPr>
          <w:p w14:paraId="25D34A88" w14:textId="77777777" w:rsidR="00D335FC" w:rsidRPr="00F16B11" w:rsidRDefault="00D335FC" w:rsidP="008762CE">
            <w:pPr>
              <w:spacing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0.80</w:t>
            </w:r>
          </w:p>
        </w:tc>
      </w:tr>
      <w:tr w:rsidR="00D335FC" w:rsidRPr="00F16B11" w14:paraId="2EB849F3" w14:textId="77777777" w:rsidTr="008762CE">
        <w:trPr>
          <w:jc w:val="center"/>
        </w:trPr>
        <w:tc>
          <w:tcPr>
            <w:tcW w:w="3645" w:type="dxa"/>
            <w:vAlign w:val="center"/>
          </w:tcPr>
          <w:p w14:paraId="4935C54B"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Urinary calcium, mg/24 hours</w:t>
            </w:r>
          </w:p>
        </w:tc>
        <w:tc>
          <w:tcPr>
            <w:tcW w:w="1410" w:type="dxa"/>
            <w:vAlign w:val="center"/>
          </w:tcPr>
          <w:p w14:paraId="2EDEB619" w14:textId="77777777" w:rsidR="00D335FC" w:rsidRPr="00F16B11" w:rsidRDefault="00D335FC" w:rsidP="008762CE">
            <w:pPr>
              <w:spacing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142.8 ± 66.7</w:t>
            </w:r>
          </w:p>
        </w:tc>
        <w:tc>
          <w:tcPr>
            <w:tcW w:w="1590" w:type="dxa"/>
            <w:vAlign w:val="center"/>
          </w:tcPr>
          <w:p w14:paraId="30FCAD7B" w14:textId="77777777" w:rsidR="00D335FC" w:rsidRPr="00F16B11" w:rsidRDefault="00D335FC" w:rsidP="008762CE">
            <w:pPr>
              <w:spacing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106.4 ± 99.1</w:t>
            </w:r>
          </w:p>
        </w:tc>
        <w:tc>
          <w:tcPr>
            <w:tcW w:w="821" w:type="dxa"/>
            <w:vAlign w:val="center"/>
          </w:tcPr>
          <w:p w14:paraId="68981DB3" w14:textId="77777777" w:rsidR="00D335FC" w:rsidRPr="00F16B11" w:rsidRDefault="00D335FC" w:rsidP="008762CE">
            <w:pPr>
              <w:spacing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0.34</w:t>
            </w:r>
          </w:p>
        </w:tc>
      </w:tr>
      <w:tr w:rsidR="00D335FC" w:rsidRPr="00F16B11" w14:paraId="19B0304B" w14:textId="77777777" w:rsidTr="008762CE">
        <w:trPr>
          <w:jc w:val="center"/>
        </w:trPr>
        <w:tc>
          <w:tcPr>
            <w:tcW w:w="3645" w:type="dxa"/>
            <w:vAlign w:val="center"/>
          </w:tcPr>
          <w:p w14:paraId="6EF9B4A9"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C3, mg/dl</w:t>
            </w:r>
          </w:p>
        </w:tc>
        <w:tc>
          <w:tcPr>
            <w:tcW w:w="1410" w:type="dxa"/>
            <w:vAlign w:val="center"/>
          </w:tcPr>
          <w:p w14:paraId="7C9498DF" w14:textId="77777777" w:rsidR="00D335FC" w:rsidRPr="00F16B11" w:rsidRDefault="00D335FC" w:rsidP="008762CE">
            <w:pPr>
              <w:spacing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98.5 ± 31.3</w:t>
            </w:r>
          </w:p>
        </w:tc>
        <w:tc>
          <w:tcPr>
            <w:tcW w:w="1590" w:type="dxa"/>
            <w:vAlign w:val="center"/>
          </w:tcPr>
          <w:p w14:paraId="6BB9AF5A" w14:textId="77777777" w:rsidR="00D335FC" w:rsidRPr="00F16B11" w:rsidRDefault="00D335FC" w:rsidP="008762CE">
            <w:pPr>
              <w:spacing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92.3 ± 27.5</w:t>
            </w:r>
          </w:p>
        </w:tc>
        <w:tc>
          <w:tcPr>
            <w:tcW w:w="821" w:type="dxa"/>
            <w:vAlign w:val="center"/>
          </w:tcPr>
          <w:p w14:paraId="4D88F1C7" w14:textId="77777777" w:rsidR="00D335FC" w:rsidRPr="00F16B11" w:rsidRDefault="00D335FC" w:rsidP="008762CE">
            <w:pPr>
              <w:spacing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0.51</w:t>
            </w:r>
          </w:p>
        </w:tc>
      </w:tr>
      <w:tr w:rsidR="00D335FC" w:rsidRPr="00F16B11" w14:paraId="276EFA86" w14:textId="77777777" w:rsidTr="008762CE">
        <w:trPr>
          <w:jc w:val="center"/>
        </w:trPr>
        <w:tc>
          <w:tcPr>
            <w:tcW w:w="3645" w:type="dxa"/>
            <w:vAlign w:val="center"/>
          </w:tcPr>
          <w:p w14:paraId="17396E49"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ΔC3, mg/dl</w:t>
            </w:r>
          </w:p>
        </w:tc>
        <w:tc>
          <w:tcPr>
            <w:tcW w:w="1410" w:type="dxa"/>
            <w:vAlign w:val="center"/>
          </w:tcPr>
          <w:p w14:paraId="1148B379" w14:textId="77777777" w:rsidR="00D335FC" w:rsidRPr="00F16B11" w:rsidRDefault="00D335FC" w:rsidP="008762CE">
            <w:pPr>
              <w:spacing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23 (6.5-50)</w:t>
            </w:r>
          </w:p>
        </w:tc>
        <w:tc>
          <w:tcPr>
            <w:tcW w:w="1590" w:type="dxa"/>
            <w:vAlign w:val="center"/>
          </w:tcPr>
          <w:p w14:paraId="2D19F157" w14:textId="77777777" w:rsidR="00D335FC" w:rsidRPr="00F16B11" w:rsidRDefault="00D335FC" w:rsidP="008762CE">
            <w:pPr>
              <w:spacing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15 (5.3-26)</w:t>
            </w:r>
          </w:p>
        </w:tc>
        <w:tc>
          <w:tcPr>
            <w:tcW w:w="821" w:type="dxa"/>
            <w:vAlign w:val="center"/>
          </w:tcPr>
          <w:p w14:paraId="574C5BEA" w14:textId="77777777" w:rsidR="00D335FC" w:rsidRPr="00F16B11" w:rsidRDefault="00D335FC" w:rsidP="008762CE">
            <w:pPr>
              <w:spacing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0.29</w:t>
            </w:r>
          </w:p>
        </w:tc>
      </w:tr>
      <w:tr w:rsidR="00D335FC" w:rsidRPr="00F16B11" w14:paraId="54AAF90E" w14:textId="77777777" w:rsidTr="008762CE">
        <w:trPr>
          <w:jc w:val="center"/>
        </w:trPr>
        <w:tc>
          <w:tcPr>
            <w:tcW w:w="3645" w:type="dxa"/>
            <w:vAlign w:val="center"/>
          </w:tcPr>
          <w:p w14:paraId="678DAA56"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lastRenderedPageBreak/>
              <w:t>Normalization of C3, n (%)</w:t>
            </w:r>
            <w:r w:rsidRPr="00F16B11">
              <w:rPr>
                <w:rFonts w:ascii="Times New Roman" w:eastAsia="Times New Roman" w:hAnsi="Times New Roman" w:cs="Times New Roman"/>
                <w:sz w:val="24"/>
                <w:szCs w:val="24"/>
                <w:vertAlign w:val="superscript"/>
              </w:rPr>
              <w:t>a</w:t>
            </w:r>
          </w:p>
        </w:tc>
        <w:tc>
          <w:tcPr>
            <w:tcW w:w="1410" w:type="dxa"/>
            <w:vAlign w:val="center"/>
          </w:tcPr>
          <w:p w14:paraId="40CCA645" w14:textId="77777777" w:rsidR="00D335FC" w:rsidRPr="00F16B11" w:rsidRDefault="00D335FC" w:rsidP="008762CE">
            <w:pPr>
              <w:spacing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11 (68.8)</w:t>
            </w:r>
          </w:p>
        </w:tc>
        <w:tc>
          <w:tcPr>
            <w:tcW w:w="1590" w:type="dxa"/>
            <w:vAlign w:val="center"/>
          </w:tcPr>
          <w:p w14:paraId="061376AB" w14:textId="77777777" w:rsidR="00D335FC" w:rsidRPr="00F16B11" w:rsidRDefault="00D335FC" w:rsidP="008762CE">
            <w:pPr>
              <w:spacing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6 (40.0)</w:t>
            </w:r>
          </w:p>
        </w:tc>
        <w:tc>
          <w:tcPr>
            <w:tcW w:w="821" w:type="dxa"/>
            <w:vAlign w:val="center"/>
          </w:tcPr>
          <w:p w14:paraId="33BC2A2E" w14:textId="77777777" w:rsidR="00D335FC" w:rsidRPr="00F16B11" w:rsidRDefault="00D335FC" w:rsidP="008762CE">
            <w:pPr>
              <w:spacing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0.21</w:t>
            </w:r>
          </w:p>
        </w:tc>
      </w:tr>
      <w:tr w:rsidR="00D335FC" w:rsidRPr="00F16B11" w14:paraId="38F6E0E5" w14:textId="77777777" w:rsidTr="008762CE">
        <w:trPr>
          <w:jc w:val="center"/>
        </w:trPr>
        <w:tc>
          <w:tcPr>
            <w:tcW w:w="3645" w:type="dxa"/>
            <w:vAlign w:val="center"/>
          </w:tcPr>
          <w:p w14:paraId="3E217FD4"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C4, mg/dl</w:t>
            </w:r>
          </w:p>
        </w:tc>
        <w:tc>
          <w:tcPr>
            <w:tcW w:w="1410" w:type="dxa"/>
            <w:vAlign w:val="center"/>
          </w:tcPr>
          <w:p w14:paraId="2631B784" w14:textId="77777777" w:rsidR="00D335FC" w:rsidRPr="00F16B11" w:rsidRDefault="00D335FC" w:rsidP="008762CE">
            <w:pPr>
              <w:spacing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18.8 ± 10.3</w:t>
            </w:r>
          </w:p>
        </w:tc>
        <w:tc>
          <w:tcPr>
            <w:tcW w:w="1590" w:type="dxa"/>
            <w:vAlign w:val="center"/>
          </w:tcPr>
          <w:p w14:paraId="5C5A1213" w14:textId="77777777" w:rsidR="00D335FC" w:rsidRPr="00F16B11" w:rsidRDefault="00D335FC" w:rsidP="008762CE">
            <w:pPr>
              <w:spacing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16.6 ± 9.1</w:t>
            </w:r>
          </w:p>
        </w:tc>
        <w:tc>
          <w:tcPr>
            <w:tcW w:w="821" w:type="dxa"/>
            <w:vAlign w:val="center"/>
          </w:tcPr>
          <w:p w14:paraId="06745BEA" w14:textId="77777777" w:rsidR="00D335FC" w:rsidRPr="00F16B11" w:rsidRDefault="00D335FC" w:rsidP="008762CE">
            <w:pPr>
              <w:spacing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0.46</w:t>
            </w:r>
          </w:p>
        </w:tc>
      </w:tr>
      <w:tr w:rsidR="00D335FC" w:rsidRPr="00F16B11" w14:paraId="36F5970E" w14:textId="77777777" w:rsidTr="008762CE">
        <w:trPr>
          <w:jc w:val="center"/>
        </w:trPr>
        <w:tc>
          <w:tcPr>
            <w:tcW w:w="3645" w:type="dxa"/>
            <w:vAlign w:val="center"/>
          </w:tcPr>
          <w:p w14:paraId="721E9691"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ΔC4, mg/dl</w:t>
            </w:r>
          </w:p>
        </w:tc>
        <w:tc>
          <w:tcPr>
            <w:tcW w:w="1410" w:type="dxa"/>
            <w:vAlign w:val="center"/>
          </w:tcPr>
          <w:p w14:paraId="1A832FAA" w14:textId="77777777" w:rsidR="00D335FC" w:rsidRPr="00F16B11" w:rsidRDefault="00D335FC" w:rsidP="008762CE">
            <w:pPr>
              <w:spacing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7.4 ± 7.6</w:t>
            </w:r>
          </w:p>
        </w:tc>
        <w:tc>
          <w:tcPr>
            <w:tcW w:w="1590" w:type="dxa"/>
            <w:vAlign w:val="center"/>
          </w:tcPr>
          <w:p w14:paraId="35C85151" w14:textId="77777777" w:rsidR="00D335FC" w:rsidRPr="00F16B11" w:rsidRDefault="00D335FC" w:rsidP="008762CE">
            <w:pPr>
              <w:spacing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3.3 ± 7.3</w:t>
            </w:r>
          </w:p>
        </w:tc>
        <w:tc>
          <w:tcPr>
            <w:tcW w:w="821" w:type="dxa"/>
            <w:vAlign w:val="center"/>
          </w:tcPr>
          <w:p w14:paraId="60E471FB" w14:textId="77777777" w:rsidR="00D335FC" w:rsidRPr="00F16B11" w:rsidRDefault="00D335FC" w:rsidP="008762CE">
            <w:pPr>
              <w:spacing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0.09</w:t>
            </w:r>
          </w:p>
        </w:tc>
      </w:tr>
      <w:tr w:rsidR="00D335FC" w:rsidRPr="00F16B11" w14:paraId="2325F8CC" w14:textId="77777777" w:rsidTr="008762CE">
        <w:trPr>
          <w:jc w:val="center"/>
        </w:trPr>
        <w:tc>
          <w:tcPr>
            <w:tcW w:w="3645" w:type="dxa"/>
            <w:vAlign w:val="center"/>
          </w:tcPr>
          <w:p w14:paraId="06B0CB02"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Normalization of C4, n (%)</w:t>
            </w:r>
            <w:r w:rsidRPr="00F16B11">
              <w:rPr>
                <w:rFonts w:ascii="Times New Roman" w:eastAsia="Times New Roman" w:hAnsi="Times New Roman" w:cs="Times New Roman"/>
                <w:sz w:val="24"/>
                <w:szCs w:val="24"/>
                <w:vertAlign w:val="superscript"/>
              </w:rPr>
              <w:t>b</w:t>
            </w:r>
          </w:p>
        </w:tc>
        <w:tc>
          <w:tcPr>
            <w:tcW w:w="1410" w:type="dxa"/>
            <w:vAlign w:val="center"/>
          </w:tcPr>
          <w:p w14:paraId="4768B3D0" w14:textId="77777777" w:rsidR="00D335FC" w:rsidRPr="00F16B11" w:rsidRDefault="00D335FC" w:rsidP="008762CE">
            <w:pPr>
              <w:spacing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6 (54.5)</w:t>
            </w:r>
          </w:p>
        </w:tc>
        <w:tc>
          <w:tcPr>
            <w:tcW w:w="1590" w:type="dxa"/>
            <w:vAlign w:val="center"/>
          </w:tcPr>
          <w:p w14:paraId="16C71339" w14:textId="77777777" w:rsidR="00D335FC" w:rsidRPr="00F16B11" w:rsidRDefault="00D335FC" w:rsidP="008762CE">
            <w:pPr>
              <w:spacing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7 (58.3)</w:t>
            </w:r>
          </w:p>
        </w:tc>
        <w:tc>
          <w:tcPr>
            <w:tcW w:w="821" w:type="dxa"/>
            <w:vAlign w:val="center"/>
          </w:tcPr>
          <w:p w14:paraId="6E393152" w14:textId="77777777" w:rsidR="00D335FC" w:rsidRPr="00F16B11" w:rsidRDefault="00D335FC" w:rsidP="008762CE">
            <w:pPr>
              <w:spacing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0.85</w:t>
            </w:r>
          </w:p>
        </w:tc>
      </w:tr>
      <w:tr w:rsidR="00D335FC" w:rsidRPr="00F16B11" w14:paraId="099CEB3C" w14:textId="77777777" w:rsidTr="008762CE">
        <w:trPr>
          <w:jc w:val="center"/>
        </w:trPr>
        <w:tc>
          <w:tcPr>
            <w:tcW w:w="3645" w:type="dxa"/>
            <w:vAlign w:val="center"/>
          </w:tcPr>
          <w:p w14:paraId="02C67411"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Anti-dsDNA titers</w:t>
            </w:r>
          </w:p>
        </w:tc>
        <w:tc>
          <w:tcPr>
            <w:tcW w:w="1410" w:type="dxa"/>
            <w:vAlign w:val="center"/>
          </w:tcPr>
          <w:p w14:paraId="125F6E5F" w14:textId="77777777" w:rsidR="00D335FC" w:rsidRPr="00F16B11" w:rsidRDefault="00D335FC" w:rsidP="008762CE">
            <w:pPr>
              <w:spacing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24 (5.6-46.9)</w:t>
            </w:r>
          </w:p>
        </w:tc>
        <w:tc>
          <w:tcPr>
            <w:tcW w:w="1590" w:type="dxa"/>
            <w:vAlign w:val="center"/>
          </w:tcPr>
          <w:p w14:paraId="7219DCD9" w14:textId="77777777" w:rsidR="00D335FC" w:rsidRPr="00F16B11" w:rsidRDefault="00D335FC" w:rsidP="008762CE">
            <w:pPr>
              <w:spacing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13.4 (0-37.7)</w:t>
            </w:r>
          </w:p>
        </w:tc>
        <w:tc>
          <w:tcPr>
            <w:tcW w:w="821" w:type="dxa"/>
            <w:vAlign w:val="center"/>
          </w:tcPr>
          <w:p w14:paraId="653A535C" w14:textId="77777777" w:rsidR="00D335FC" w:rsidRPr="00F16B11" w:rsidRDefault="00D335FC" w:rsidP="008762CE">
            <w:pPr>
              <w:spacing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0.40</w:t>
            </w:r>
          </w:p>
        </w:tc>
      </w:tr>
      <w:tr w:rsidR="00D335FC" w:rsidRPr="00F16B11" w14:paraId="545967DD" w14:textId="77777777" w:rsidTr="008762CE">
        <w:trPr>
          <w:jc w:val="center"/>
        </w:trPr>
        <w:tc>
          <w:tcPr>
            <w:tcW w:w="3645" w:type="dxa"/>
            <w:vAlign w:val="center"/>
          </w:tcPr>
          <w:p w14:paraId="63F9051B"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ΔAnti-DNAds</w:t>
            </w:r>
          </w:p>
        </w:tc>
        <w:tc>
          <w:tcPr>
            <w:tcW w:w="1410" w:type="dxa"/>
            <w:vAlign w:val="center"/>
          </w:tcPr>
          <w:p w14:paraId="6345D25F" w14:textId="77777777" w:rsidR="00D335FC" w:rsidRPr="00F16B11" w:rsidRDefault="00D335FC" w:rsidP="008762CE">
            <w:pPr>
              <w:spacing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26 (3.2-131.1)</w:t>
            </w:r>
          </w:p>
        </w:tc>
        <w:tc>
          <w:tcPr>
            <w:tcW w:w="1590" w:type="dxa"/>
            <w:vAlign w:val="center"/>
          </w:tcPr>
          <w:p w14:paraId="08A46021" w14:textId="77777777" w:rsidR="00D335FC" w:rsidRPr="00F16B11" w:rsidRDefault="00D335FC" w:rsidP="008762CE">
            <w:pPr>
              <w:spacing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28.6 (0-55.8)</w:t>
            </w:r>
          </w:p>
        </w:tc>
        <w:tc>
          <w:tcPr>
            <w:tcW w:w="821" w:type="dxa"/>
            <w:vAlign w:val="center"/>
          </w:tcPr>
          <w:p w14:paraId="25088EC2" w14:textId="77777777" w:rsidR="00D335FC" w:rsidRPr="00F16B11" w:rsidRDefault="00D335FC" w:rsidP="008762CE">
            <w:pPr>
              <w:spacing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0.73</w:t>
            </w:r>
          </w:p>
        </w:tc>
      </w:tr>
      <w:tr w:rsidR="00D335FC" w:rsidRPr="00F16B11" w14:paraId="7EF8D404" w14:textId="77777777" w:rsidTr="008762CE">
        <w:trPr>
          <w:jc w:val="center"/>
        </w:trPr>
        <w:tc>
          <w:tcPr>
            <w:tcW w:w="3645" w:type="dxa"/>
            <w:tcBorders>
              <w:bottom w:val="single" w:sz="4" w:space="0" w:color="000000"/>
            </w:tcBorders>
            <w:vAlign w:val="center"/>
          </w:tcPr>
          <w:p w14:paraId="04F27CC1" w14:textId="77777777" w:rsidR="00D335FC" w:rsidRPr="00F16B11" w:rsidRDefault="00D335FC" w:rsidP="008762CE">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Normalization of anti-DNAds, n (%)</w:t>
            </w:r>
            <w:r w:rsidRPr="00F16B11">
              <w:rPr>
                <w:rFonts w:ascii="Times New Roman" w:eastAsia="Times New Roman" w:hAnsi="Times New Roman" w:cs="Times New Roman"/>
                <w:sz w:val="24"/>
                <w:szCs w:val="24"/>
                <w:vertAlign w:val="superscript"/>
              </w:rPr>
              <w:t>c</w:t>
            </w:r>
          </w:p>
        </w:tc>
        <w:tc>
          <w:tcPr>
            <w:tcW w:w="1410" w:type="dxa"/>
            <w:tcBorders>
              <w:bottom w:val="single" w:sz="4" w:space="0" w:color="000000"/>
            </w:tcBorders>
            <w:vAlign w:val="center"/>
          </w:tcPr>
          <w:p w14:paraId="65A8A811" w14:textId="77777777" w:rsidR="00D335FC" w:rsidRPr="00F16B11" w:rsidRDefault="00D335FC" w:rsidP="008762CE">
            <w:pPr>
              <w:spacing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9 (42.3)</w:t>
            </w:r>
          </w:p>
        </w:tc>
        <w:tc>
          <w:tcPr>
            <w:tcW w:w="1590" w:type="dxa"/>
            <w:tcBorders>
              <w:bottom w:val="single" w:sz="4" w:space="0" w:color="000000"/>
            </w:tcBorders>
            <w:vAlign w:val="center"/>
          </w:tcPr>
          <w:p w14:paraId="1244779C" w14:textId="77777777" w:rsidR="00D335FC" w:rsidRPr="00F16B11" w:rsidRDefault="00D335FC" w:rsidP="008762CE">
            <w:pPr>
              <w:spacing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12 (60)</w:t>
            </w:r>
          </w:p>
        </w:tc>
        <w:tc>
          <w:tcPr>
            <w:tcW w:w="821" w:type="dxa"/>
            <w:tcBorders>
              <w:bottom w:val="single" w:sz="4" w:space="0" w:color="000000"/>
            </w:tcBorders>
            <w:vAlign w:val="center"/>
          </w:tcPr>
          <w:p w14:paraId="67AD5092" w14:textId="77777777" w:rsidR="00D335FC" w:rsidRPr="00F16B11" w:rsidRDefault="00D335FC" w:rsidP="008762CE">
            <w:pPr>
              <w:spacing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0.64</w:t>
            </w:r>
          </w:p>
        </w:tc>
      </w:tr>
    </w:tbl>
    <w:p w14:paraId="2AEA9BA2" w14:textId="77777777" w:rsidR="00D335FC" w:rsidRPr="00F16B11" w:rsidRDefault="00D335FC" w:rsidP="00D335FC">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i/>
          <w:sz w:val="24"/>
          <w:szCs w:val="24"/>
        </w:rPr>
        <w:t>Values were expressed as mean ± standard deviation, median (interquartile range), or n (%). </w:t>
      </w:r>
    </w:p>
    <w:p w14:paraId="05616B33" w14:textId="77777777" w:rsidR="00D335FC" w:rsidRPr="00F16B11" w:rsidRDefault="00D335FC" w:rsidP="00D335FC">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i/>
          <w:sz w:val="24"/>
          <w:szCs w:val="24"/>
          <w:vertAlign w:val="superscript"/>
        </w:rPr>
        <w:t>a</w:t>
      </w:r>
      <w:r w:rsidRPr="00F16B11">
        <w:rPr>
          <w:rFonts w:ascii="Times New Roman" w:eastAsia="Times New Roman" w:hAnsi="Times New Roman" w:cs="Times New Roman"/>
          <w:i/>
          <w:sz w:val="24"/>
          <w:szCs w:val="24"/>
        </w:rPr>
        <w:t xml:space="preserve"> % of patients with C3 below reference values at baseline (n=16 in High Dose and n=15 in Routine Dose) that had C3 within reference values at the end of the study.</w:t>
      </w:r>
    </w:p>
    <w:p w14:paraId="055A32BC" w14:textId="77777777" w:rsidR="00D335FC" w:rsidRPr="00F16B11" w:rsidRDefault="00D335FC" w:rsidP="00D335FC">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i/>
          <w:sz w:val="24"/>
          <w:szCs w:val="24"/>
          <w:vertAlign w:val="superscript"/>
        </w:rPr>
        <w:t>b</w:t>
      </w:r>
      <w:r w:rsidRPr="00F16B11">
        <w:rPr>
          <w:rFonts w:ascii="Times New Roman" w:eastAsia="Times New Roman" w:hAnsi="Times New Roman" w:cs="Times New Roman"/>
          <w:i/>
          <w:sz w:val="24"/>
          <w:szCs w:val="24"/>
        </w:rPr>
        <w:t xml:space="preserve"> % of patients with C4 below reference values at baseline (n=11 in High Dose and n=12 in Routine Dose) that had C4 within reference values at the end of the study.</w:t>
      </w:r>
    </w:p>
    <w:p w14:paraId="70591A67" w14:textId="77777777" w:rsidR="00D335FC" w:rsidRPr="00F16B11" w:rsidRDefault="00D335FC" w:rsidP="00D335FC">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i/>
          <w:sz w:val="24"/>
          <w:szCs w:val="24"/>
          <w:vertAlign w:val="superscript"/>
        </w:rPr>
        <w:t>c</w:t>
      </w:r>
      <w:r w:rsidRPr="00F16B11">
        <w:rPr>
          <w:rFonts w:ascii="Times New Roman" w:eastAsia="Times New Roman" w:hAnsi="Times New Roman" w:cs="Times New Roman"/>
          <w:i/>
          <w:sz w:val="24"/>
          <w:szCs w:val="24"/>
        </w:rPr>
        <w:t xml:space="preserve"> % of patients with positivity of anti-dsDNA at baseline (n=11 in High Dose and n=12 in Routine Dose) that had anti-dsDNA non-reagent at the end of the study.</w:t>
      </w:r>
    </w:p>
    <w:p w14:paraId="2556E5E5" w14:textId="77777777" w:rsidR="00D335FC" w:rsidRPr="00F16B11" w:rsidRDefault="00D335FC" w:rsidP="00D335FC">
      <w:pPr>
        <w:spacing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i/>
          <w:sz w:val="24"/>
          <w:szCs w:val="24"/>
        </w:rPr>
        <w:t>SLEDAI:</w:t>
      </w:r>
      <w:r w:rsidRPr="00F16B11">
        <w:rPr>
          <w:rFonts w:ascii="Times New Roman" w:eastAsia="Times New Roman" w:hAnsi="Times New Roman" w:cs="Times New Roman"/>
          <w:sz w:val="24"/>
          <w:szCs w:val="24"/>
        </w:rPr>
        <w:t xml:space="preserve"> </w:t>
      </w:r>
      <w:r w:rsidRPr="00F16B11">
        <w:rPr>
          <w:rFonts w:ascii="Times New Roman" w:eastAsia="Times New Roman" w:hAnsi="Times New Roman" w:cs="Times New Roman"/>
          <w:i/>
          <w:sz w:val="24"/>
          <w:szCs w:val="24"/>
        </w:rPr>
        <w:t>Systemic Lupus Erythematosus Disease Activity Index. GC: Glucocorticoid</w:t>
      </w:r>
      <w:r w:rsidRPr="00F16B11">
        <w:rPr>
          <w:rFonts w:ascii="Times New Roman" w:eastAsia="Times New Roman" w:hAnsi="Times New Roman" w:cs="Times New Roman"/>
          <w:sz w:val="24"/>
          <w:szCs w:val="24"/>
        </w:rPr>
        <w:t>;</w:t>
      </w:r>
      <w:r w:rsidRPr="00F16B11">
        <w:rPr>
          <w:rFonts w:ascii="Times New Roman" w:eastAsia="Times New Roman" w:hAnsi="Times New Roman" w:cs="Times New Roman"/>
          <w:i/>
          <w:sz w:val="24"/>
          <w:szCs w:val="24"/>
        </w:rPr>
        <w:t xml:space="preserve"> 25OHD: 25-hydroxivitamin D; Δ: Difference between the final and the baseline value.</w:t>
      </w:r>
    </w:p>
    <w:p w14:paraId="028AED29" w14:textId="77777777" w:rsidR="00D335FC" w:rsidRDefault="00D335FC" w:rsidP="00F16B11">
      <w:pPr>
        <w:spacing w:line="480" w:lineRule="auto"/>
        <w:rPr>
          <w:rFonts w:ascii="Times New Roman" w:eastAsia="Times New Roman" w:hAnsi="Times New Roman" w:cs="Times New Roman"/>
          <w:color w:val="000000"/>
          <w:sz w:val="24"/>
          <w:szCs w:val="24"/>
        </w:rPr>
      </w:pPr>
    </w:p>
    <w:p w14:paraId="0772113E" w14:textId="77777777" w:rsidR="00D335FC" w:rsidRDefault="00D335FC" w:rsidP="00F16B11">
      <w:pPr>
        <w:spacing w:line="480" w:lineRule="auto"/>
        <w:rPr>
          <w:rFonts w:ascii="Times New Roman" w:eastAsia="Times New Roman" w:hAnsi="Times New Roman" w:cs="Times New Roman"/>
          <w:color w:val="000000"/>
          <w:sz w:val="24"/>
          <w:szCs w:val="24"/>
        </w:rPr>
      </w:pPr>
    </w:p>
    <w:p w14:paraId="773B04C2" w14:textId="77777777" w:rsidR="00D335FC" w:rsidRPr="00F16B11" w:rsidRDefault="00D335FC" w:rsidP="00D335FC">
      <w:pPr>
        <w:spacing w:before="280" w:after="280" w:line="480" w:lineRule="auto"/>
        <w:jc w:val="both"/>
        <w:rPr>
          <w:rFonts w:ascii="Times New Roman" w:eastAsia="Times New Roman" w:hAnsi="Times New Roman" w:cs="Times New Roman"/>
          <w:sz w:val="24"/>
          <w:szCs w:val="24"/>
        </w:rPr>
      </w:pPr>
      <w:r w:rsidRPr="00F16B11">
        <w:rPr>
          <w:rFonts w:ascii="Times New Roman" w:eastAsia="Times New Roman" w:hAnsi="Times New Roman" w:cs="Times New Roman"/>
          <w:color w:val="000000"/>
          <w:sz w:val="24"/>
          <w:szCs w:val="24"/>
        </w:rPr>
        <w:lastRenderedPageBreak/>
        <w:t>Table 3. Frequency of hydroxychloroquine and immunosuppressant drug use between the groups</w:t>
      </w:r>
      <w:r w:rsidRPr="00F16B11">
        <w:rPr>
          <w:rFonts w:ascii="Times New Roman" w:eastAsia="Times New Roman" w:hAnsi="Times New Roman" w:cs="Times New Roman"/>
          <w:i/>
          <w:color w:val="000000"/>
          <w:sz w:val="24"/>
          <w:szCs w:val="24"/>
        </w:rPr>
        <w:t>Values were expressed as n (%)</w:t>
      </w:r>
    </w:p>
    <w:tbl>
      <w:tblPr>
        <w:tblStyle w:val="a1"/>
        <w:tblpPr w:leftFromText="141" w:rightFromText="141" w:vertAnchor="text" w:tblpX="-460"/>
        <w:tblW w:w="10040" w:type="dxa"/>
        <w:tblInd w:w="0" w:type="dxa"/>
        <w:tblBorders>
          <w:top w:val="single" w:sz="8" w:space="0" w:color="000000"/>
          <w:bottom w:val="single" w:sz="8" w:space="0" w:color="000000"/>
          <w:insideH w:val="single" w:sz="8" w:space="0" w:color="000000"/>
          <w:insideV w:val="single" w:sz="8" w:space="0" w:color="000000"/>
        </w:tblBorders>
        <w:tblLayout w:type="fixed"/>
        <w:tblLook w:val="0600" w:firstRow="0" w:lastRow="0" w:firstColumn="0" w:lastColumn="0" w:noHBand="1" w:noVBand="1"/>
      </w:tblPr>
      <w:tblGrid>
        <w:gridCol w:w="3155"/>
        <w:gridCol w:w="660"/>
        <w:gridCol w:w="615"/>
        <w:gridCol w:w="1230"/>
        <w:gridCol w:w="900"/>
        <w:gridCol w:w="1410"/>
        <w:gridCol w:w="1275"/>
        <w:gridCol w:w="795"/>
      </w:tblGrid>
      <w:tr w:rsidR="00D335FC" w:rsidRPr="00F16B11" w14:paraId="2A6691D9" w14:textId="77777777" w:rsidTr="008762CE">
        <w:trPr>
          <w:trHeight w:val="624"/>
        </w:trPr>
        <w:tc>
          <w:tcPr>
            <w:tcW w:w="3815" w:type="dxa"/>
            <w:gridSpan w:val="2"/>
            <w:tcBorders>
              <w:top w:val="single" w:sz="4" w:space="0" w:color="000000"/>
              <w:right w:val="nil"/>
            </w:tcBorders>
            <w:vAlign w:val="center"/>
          </w:tcPr>
          <w:p w14:paraId="2E32828F" w14:textId="77777777" w:rsidR="00D335FC" w:rsidRPr="00F16B11" w:rsidRDefault="00D335FC" w:rsidP="008762CE">
            <w:pPr>
              <w:widowControl w:val="0"/>
              <w:spacing w:after="0" w:line="480" w:lineRule="auto"/>
              <w:jc w:val="both"/>
              <w:rPr>
                <w:rFonts w:ascii="Times New Roman" w:eastAsia="Times New Roman" w:hAnsi="Times New Roman" w:cs="Times New Roman"/>
                <w:b/>
                <w:sz w:val="24"/>
                <w:szCs w:val="24"/>
              </w:rPr>
            </w:pPr>
            <w:r w:rsidRPr="00F16B11">
              <w:rPr>
                <w:rFonts w:ascii="Times New Roman" w:eastAsia="Times New Roman" w:hAnsi="Times New Roman" w:cs="Times New Roman"/>
                <w:b/>
                <w:sz w:val="24"/>
                <w:szCs w:val="24"/>
              </w:rPr>
              <w:t>Drug</w:t>
            </w:r>
          </w:p>
        </w:tc>
        <w:tc>
          <w:tcPr>
            <w:tcW w:w="2745" w:type="dxa"/>
            <w:gridSpan w:val="3"/>
            <w:tcBorders>
              <w:top w:val="single" w:sz="4" w:space="0" w:color="000000"/>
              <w:left w:val="nil"/>
              <w:bottom w:val="single" w:sz="4" w:space="0" w:color="000000"/>
              <w:right w:val="nil"/>
            </w:tcBorders>
            <w:vAlign w:val="center"/>
          </w:tcPr>
          <w:p w14:paraId="62C779FE" w14:textId="77777777" w:rsidR="00D335FC" w:rsidRPr="00F16B11" w:rsidRDefault="00D335FC" w:rsidP="008762CE">
            <w:pPr>
              <w:widowControl w:val="0"/>
              <w:spacing w:after="0" w:line="480" w:lineRule="auto"/>
              <w:jc w:val="both"/>
              <w:rPr>
                <w:rFonts w:ascii="Times New Roman" w:eastAsia="Times New Roman" w:hAnsi="Times New Roman" w:cs="Times New Roman"/>
                <w:b/>
                <w:sz w:val="24"/>
                <w:szCs w:val="24"/>
              </w:rPr>
            </w:pPr>
            <w:r w:rsidRPr="00F16B11">
              <w:rPr>
                <w:rFonts w:ascii="Times New Roman" w:eastAsia="Times New Roman" w:hAnsi="Times New Roman" w:cs="Times New Roman"/>
                <w:b/>
                <w:sz w:val="24"/>
                <w:szCs w:val="24"/>
              </w:rPr>
              <w:t>Baseline</w:t>
            </w:r>
          </w:p>
        </w:tc>
        <w:tc>
          <w:tcPr>
            <w:tcW w:w="3480" w:type="dxa"/>
            <w:gridSpan w:val="3"/>
            <w:tcBorders>
              <w:top w:val="single" w:sz="4" w:space="0" w:color="000000"/>
              <w:left w:val="nil"/>
              <w:bottom w:val="single" w:sz="4" w:space="0" w:color="000000"/>
              <w:right w:val="nil"/>
            </w:tcBorders>
            <w:vAlign w:val="center"/>
          </w:tcPr>
          <w:p w14:paraId="19A00182" w14:textId="77777777" w:rsidR="00D335FC" w:rsidRPr="00F16B11" w:rsidRDefault="00D335FC" w:rsidP="008762CE">
            <w:pPr>
              <w:widowControl w:val="0"/>
              <w:spacing w:after="0" w:line="480" w:lineRule="auto"/>
              <w:jc w:val="both"/>
              <w:rPr>
                <w:rFonts w:ascii="Times New Roman" w:eastAsia="Times New Roman" w:hAnsi="Times New Roman" w:cs="Times New Roman"/>
                <w:b/>
                <w:sz w:val="24"/>
                <w:szCs w:val="24"/>
              </w:rPr>
            </w:pPr>
            <w:r w:rsidRPr="00F16B11">
              <w:rPr>
                <w:rFonts w:ascii="Times New Roman" w:eastAsia="Times New Roman" w:hAnsi="Times New Roman" w:cs="Times New Roman"/>
                <w:b/>
                <w:sz w:val="24"/>
                <w:szCs w:val="24"/>
              </w:rPr>
              <w:t>Week 24</w:t>
            </w:r>
          </w:p>
        </w:tc>
      </w:tr>
      <w:tr w:rsidR="00D335FC" w:rsidRPr="00F16B11" w14:paraId="5BC1AD6B" w14:textId="77777777" w:rsidTr="008762CE">
        <w:trPr>
          <w:trHeight w:val="488"/>
        </w:trPr>
        <w:tc>
          <w:tcPr>
            <w:tcW w:w="3155" w:type="dxa"/>
            <w:tcBorders>
              <w:bottom w:val="single" w:sz="4" w:space="0" w:color="000000"/>
              <w:right w:val="nil"/>
            </w:tcBorders>
            <w:vAlign w:val="center"/>
          </w:tcPr>
          <w:p w14:paraId="3BF5FF75" w14:textId="77777777" w:rsidR="00D335FC" w:rsidRPr="00F16B11" w:rsidRDefault="00D335FC" w:rsidP="008762CE">
            <w:pPr>
              <w:widowControl w:val="0"/>
              <w:spacing w:after="0" w:line="480" w:lineRule="auto"/>
              <w:jc w:val="both"/>
              <w:rPr>
                <w:rFonts w:ascii="Times New Roman" w:eastAsia="Times New Roman" w:hAnsi="Times New Roman" w:cs="Times New Roman"/>
                <w:b/>
                <w:sz w:val="24"/>
                <w:szCs w:val="24"/>
              </w:rPr>
            </w:pPr>
          </w:p>
        </w:tc>
        <w:tc>
          <w:tcPr>
            <w:tcW w:w="1275" w:type="dxa"/>
            <w:gridSpan w:val="2"/>
            <w:tcBorders>
              <w:top w:val="nil"/>
              <w:left w:val="nil"/>
              <w:bottom w:val="single" w:sz="4" w:space="0" w:color="000000"/>
              <w:right w:val="nil"/>
            </w:tcBorders>
            <w:vAlign w:val="center"/>
          </w:tcPr>
          <w:p w14:paraId="67560C3C" w14:textId="77777777" w:rsidR="00D335FC" w:rsidRPr="00F16B11" w:rsidRDefault="00D335FC" w:rsidP="008762CE">
            <w:pPr>
              <w:widowControl w:val="0"/>
              <w:spacing w:after="0" w:line="480" w:lineRule="auto"/>
              <w:jc w:val="center"/>
              <w:rPr>
                <w:rFonts w:ascii="Times New Roman" w:eastAsia="Times New Roman" w:hAnsi="Times New Roman" w:cs="Times New Roman"/>
                <w:b/>
                <w:sz w:val="24"/>
                <w:szCs w:val="24"/>
              </w:rPr>
            </w:pPr>
            <w:r w:rsidRPr="00F16B11">
              <w:rPr>
                <w:rFonts w:ascii="Times New Roman" w:eastAsia="Times New Roman" w:hAnsi="Times New Roman" w:cs="Times New Roman"/>
                <w:b/>
                <w:sz w:val="24"/>
                <w:szCs w:val="24"/>
              </w:rPr>
              <w:t>HD</w:t>
            </w:r>
          </w:p>
          <w:p w14:paraId="6B2046BE" w14:textId="77777777" w:rsidR="00D335FC" w:rsidRPr="00F16B11" w:rsidRDefault="00D335FC" w:rsidP="008762CE">
            <w:pPr>
              <w:widowControl w:val="0"/>
              <w:spacing w:after="0" w:line="480" w:lineRule="auto"/>
              <w:jc w:val="center"/>
              <w:rPr>
                <w:rFonts w:ascii="Times New Roman" w:eastAsia="Times New Roman" w:hAnsi="Times New Roman" w:cs="Times New Roman"/>
                <w:b/>
                <w:sz w:val="24"/>
                <w:szCs w:val="24"/>
              </w:rPr>
            </w:pPr>
            <w:r w:rsidRPr="00F16B11">
              <w:rPr>
                <w:rFonts w:ascii="Times New Roman" w:eastAsia="Times New Roman" w:hAnsi="Times New Roman" w:cs="Times New Roman"/>
                <w:b/>
                <w:sz w:val="24"/>
                <w:szCs w:val="24"/>
              </w:rPr>
              <w:t>n=19</w:t>
            </w:r>
          </w:p>
        </w:tc>
        <w:tc>
          <w:tcPr>
            <w:tcW w:w="1230" w:type="dxa"/>
            <w:tcBorders>
              <w:top w:val="single" w:sz="4" w:space="0" w:color="000000"/>
              <w:left w:val="nil"/>
              <w:bottom w:val="single" w:sz="4" w:space="0" w:color="000000"/>
              <w:right w:val="nil"/>
            </w:tcBorders>
            <w:vAlign w:val="center"/>
          </w:tcPr>
          <w:p w14:paraId="5046C4E8" w14:textId="77777777" w:rsidR="00D335FC" w:rsidRPr="00F16B11" w:rsidRDefault="00D335FC" w:rsidP="008762CE">
            <w:pPr>
              <w:widowControl w:val="0"/>
              <w:spacing w:after="0" w:line="480" w:lineRule="auto"/>
              <w:jc w:val="center"/>
              <w:rPr>
                <w:rFonts w:ascii="Times New Roman" w:eastAsia="Times New Roman" w:hAnsi="Times New Roman" w:cs="Times New Roman"/>
                <w:b/>
                <w:sz w:val="24"/>
                <w:szCs w:val="24"/>
              </w:rPr>
            </w:pPr>
            <w:r w:rsidRPr="00F16B11">
              <w:rPr>
                <w:rFonts w:ascii="Times New Roman" w:eastAsia="Times New Roman" w:hAnsi="Times New Roman" w:cs="Times New Roman"/>
                <w:b/>
                <w:sz w:val="24"/>
                <w:szCs w:val="24"/>
              </w:rPr>
              <w:t>RD</w:t>
            </w:r>
          </w:p>
          <w:p w14:paraId="45FCE90C" w14:textId="77777777" w:rsidR="00D335FC" w:rsidRPr="00F16B11" w:rsidRDefault="00D335FC" w:rsidP="008762CE">
            <w:pPr>
              <w:widowControl w:val="0"/>
              <w:spacing w:after="0" w:line="480" w:lineRule="auto"/>
              <w:jc w:val="center"/>
              <w:rPr>
                <w:rFonts w:ascii="Times New Roman" w:eastAsia="Times New Roman" w:hAnsi="Times New Roman" w:cs="Times New Roman"/>
                <w:b/>
                <w:sz w:val="24"/>
                <w:szCs w:val="24"/>
              </w:rPr>
            </w:pPr>
            <w:r w:rsidRPr="00F16B11">
              <w:rPr>
                <w:rFonts w:ascii="Times New Roman" w:eastAsia="Times New Roman" w:hAnsi="Times New Roman" w:cs="Times New Roman"/>
                <w:b/>
                <w:sz w:val="24"/>
                <w:szCs w:val="24"/>
              </w:rPr>
              <w:t>n=20</w:t>
            </w:r>
          </w:p>
        </w:tc>
        <w:tc>
          <w:tcPr>
            <w:tcW w:w="900" w:type="dxa"/>
            <w:tcBorders>
              <w:top w:val="single" w:sz="4" w:space="0" w:color="000000"/>
              <w:left w:val="nil"/>
              <w:bottom w:val="single" w:sz="4" w:space="0" w:color="000000"/>
              <w:right w:val="nil"/>
            </w:tcBorders>
            <w:vAlign w:val="center"/>
          </w:tcPr>
          <w:p w14:paraId="1285595D" w14:textId="77777777" w:rsidR="00D335FC" w:rsidRPr="00F16B11" w:rsidRDefault="00D335FC" w:rsidP="008762CE">
            <w:pPr>
              <w:widowControl w:val="0"/>
              <w:spacing w:after="0" w:line="480" w:lineRule="auto"/>
              <w:jc w:val="center"/>
              <w:rPr>
                <w:rFonts w:ascii="Times New Roman" w:eastAsia="Times New Roman" w:hAnsi="Times New Roman" w:cs="Times New Roman"/>
                <w:b/>
                <w:sz w:val="24"/>
                <w:szCs w:val="24"/>
              </w:rPr>
            </w:pPr>
            <w:r w:rsidRPr="00F16B11">
              <w:rPr>
                <w:rFonts w:ascii="Times New Roman" w:eastAsia="Times New Roman" w:hAnsi="Times New Roman" w:cs="Times New Roman"/>
                <w:b/>
                <w:sz w:val="24"/>
                <w:szCs w:val="24"/>
              </w:rPr>
              <w:t>P</w:t>
            </w:r>
          </w:p>
        </w:tc>
        <w:tc>
          <w:tcPr>
            <w:tcW w:w="1410" w:type="dxa"/>
            <w:tcBorders>
              <w:top w:val="single" w:sz="4" w:space="0" w:color="000000"/>
              <w:left w:val="nil"/>
              <w:bottom w:val="single" w:sz="4" w:space="0" w:color="000000"/>
              <w:right w:val="nil"/>
            </w:tcBorders>
            <w:vAlign w:val="center"/>
          </w:tcPr>
          <w:p w14:paraId="20C1FCC2" w14:textId="77777777" w:rsidR="00D335FC" w:rsidRPr="00F16B11" w:rsidRDefault="00D335FC" w:rsidP="008762CE">
            <w:pPr>
              <w:widowControl w:val="0"/>
              <w:spacing w:after="0" w:line="480" w:lineRule="auto"/>
              <w:jc w:val="center"/>
              <w:rPr>
                <w:rFonts w:ascii="Times New Roman" w:eastAsia="Times New Roman" w:hAnsi="Times New Roman" w:cs="Times New Roman"/>
                <w:b/>
                <w:sz w:val="24"/>
                <w:szCs w:val="24"/>
              </w:rPr>
            </w:pPr>
            <w:r w:rsidRPr="00F16B11">
              <w:rPr>
                <w:rFonts w:ascii="Times New Roman" w:eastAsia="Times New Roman" w:hAnsi="Times New Roman" w:cs="Times New Roman"/>
                <w:b/>
                <w:sz w:val="24"/>
                <w:szCs w:val="24"/>
              </w:rPr>
              <w:t>HD</w:t>
            </w:r>
          </w:p>
          <w:p w14:paraId="4D0A6C40" w14:textId="77777777" w:rsidR="00D335FC" w:rsidRPr="00F16B11" w:rsidRDefault="00D335FC" w:rsidP="008762CE">
            <w:pPr>
              <w:widowControl w:val="0"/>
              <w:spacing w:after="0" w:line="480" w:lineRule="auto"/>
              <w:jc w:val="center"/>
              <w:rPr>
                <w:rFonts w:ascii="Times New Roman" w:eastAsia="Times New Roman" w:hAnsi="Times New Roman" w:cs="Times New Roman"/>
                <w:b/>
                <w:sz w:val="24"/>
                <w:szCs w:val="24"/>
              </w:rPr>
            </w:pPr>
            <w:r w:rsidRPr="00F16B11">
              <w:rPr>
                <w:rFonts w:ascii="Times New Roman" w:eastAsia="Times New Roman" w:hAnsi="Times New Roman" w:cs="Times New Roman"/>
                <w:b/>
                <w:sz w:val="24"/>
                <w:szCs w:val="24"/>
              </w:rPr>
              <w:t>n=19</w:t>
            </w:r>
          </w:p>
        </w:tc>
        <w:tc>
          <w:tcPr>
            <w:tcW w:w="1275" w:type="dxa"/>
            <w:tcBorders>
              <w:top w:val="single" w:sz="4" w:space="0" w:color="000000"/>
              <w:left w:val="nil"/>
              <w:bottom w:val="single" w:sz="4" w:space="0" w:color="000000"/>
              <w:right w:val="nil"/>
            </w:tcBorders>
            <w:vAlign w:val="center"/>
          </w:tcPr>
          <w:p w14:paraId="23E7C1EC" w14:textId="77777777" w:rsidR="00D335FC" w:rsidRPr="00F16B11" w:rsidRDefault="00D335FC" w:rsidP="008762CE">
            <w:pPr>
              <w:widowControl w:val="0"/>
              <w:spacing w:after="0" w:line="480" w:lineRule="auto"/>
              <w:jc w:val="center"/>
              <w:rPr>
                <w:rFonts w:ascii="Times New Roman" w:eastAsia="Times New Roman" w:hAnsi="Times New Roman" w:cs="Times New Roman"/>
                <w:b/>
                <w:sz w:val="24"/>
                <w:szCs w:val="24"/>
              </w:rPr>
            </w:pPr>
            <w:r w:rsidRPr="00F16B11">
              <w:rPr>
                <w:rFonts w:ascii="Times New Roman" w:eastAsia="Times New Roman" w:hAnsi="Times New Roman" w:cs="Times New Roman"/>
                <w:b/>
                <w:sz w:val="24"/>
                <w:szCs w:val="24"/>
              </w:rPr>
              <w:t>RD</w:t>
            </w:r>
          </w:p>
          <w:p w14:paraId="0D073914" w14:textId="77777777" w:rsidR="00D335FC" w:rsidRPr="00F16B11" w:rsidRDefault="00D335FC" w:rsidP="008762CE">
            <w:pPr>
              <w:widowControl w:val="0"/>
              <w:spacing w:after="0" w:line="480" w:lineRule="auto"/>
              <w:jc w:val="center"/>
              <w:rPr>
                <w:rFonts w:ascii="Times New Roman" w:eastAsia="Times New Roman" w:hAnsi="Times New Roman" w:cs="Times New Roman"/>
                <w:b/>
                <w:sz w:val="24"/>
                <w:szCs w:val="24"/>
              </w:rPr>
            </w:pPr>
            <w:r w:rsidRPr="00F16B11">
              <w:rPr>
                <w:rFonts w:ascii="Times New Roman" w:eastAsia="Times New Roman" w:hAnsi="Times New Roman" w:cs="Times New Roman"/>
                <w:b/>
                <w:sz w:val="24"/>
                <w:szCs w:val="24"/>
              </w:rPr>
              <w:t>n=20</w:t>
            </w:r>
          </w:p>
        </w:tc>
        <w:tc>
          <w:tcPr>
            <w:tcW w:w="795" w:type="dxa"/>
            <w:tcBorders>
              <w:top w:val="single" w:sz="4" w:space="0" w:color="000000"/>
              <w:left w:val="nil"/>
              <w:bottom w:val="single" w:sz="4" w:space="0" w:color="000000"/>
            </w:tcBorders>
            <w:vAlign w:val="center"/>
          </w:tcPr>
          <w:p w14:paraId="69256C89" w14:textId="77777777" w:rsidR="00D335FC" w:rsidRPr="00F16B11" w:rsidRDefault="00D335FC" w:rsidP="008762CE">
            <w:pPr>
              <w:widowControl w:val="0"/>
              <w:spacing w:after="0" w:line="480" w:lineRule="auto"/>
              <w:jc w:val="center"/>
              <w:rPr>
                <w:rFonts w:ascii="Times New Roman" w:eastAsia="Times New Roman" w:hAnsi="Times New Roman" w:cs="Times New Roman"/>
                <w:b/>
                <w:sz w:val="24"/>
                <w:szCs w:val="24"/>
              </w:rPr>
            </w:pPr>
            <w:r w:rsidRPr="00F16B11">
              <w:rPr>
                <w:rFonts w:ascii="Times New Roman" w:eastAsia="Times New Roman" w:hAnsi="Times New Roman" w:cs="Times New Roman"/>
                <w:b/>
                <w:sz w:val="24"/>
                <w:szCs w:val="24"/>
              </w:rPr>
              <w:t>P</w:t>
            </w:r>
          </w:p>
        </w:tc>
      </w:tr>
      <w:tr w:rsidR="00D335FC" w:rsidRPr="00F16B11" w14:paraId="4397EAE0" w14:textId="77777777" w:rsidTr="008762CE">
        <w:tc>
          <w:tcPr>
            <w:tcW w:w="3155" w:type="dxa"/>
            <w:tcBorders>
              <w:top w:val="single" w:sz="4" w:space="0" w:color="000000"/>
              <w:bottom w:val="nil"/>
              <w:right w:val="nil"/>
            </w:tcBorders>
            <w:vAlign w:val="center"/>
          </w:tcPr>
          <w:p w14:paraId="3026C00F" w14:textId="77777777" w:rsidR="00D335FC" w:rsidRPr="00F16B11" w:rsidRDefault="00D335FC" w:rsidP="008762CE">
            <w:pPr>
              <w:widowControl w:val="0"/>
              <w:spacing w:after="0" w:line="480" w:lineRule="auto"/>
              <w:rPr>
                <w:rFonts w:ascii="Times New Roman" w:eastAsia="Times New Roman" w:hAnsi="Times New Roman" w:cs="Times New Roman"/>
                <w:sz w:val="24"/>
                <w:szCs w:val="24"/>
                <w:highlight w:val="yellow"/>
              </w:rPr>
            </w:pPr>
            <w:r w:rsidRPr="00F16B11">
              <w:rPr>
                <w:rFonts w:ascii="Times New Roman" w:eastAsia="Times New Roman" w:hAnsi="Times New Roman" w:cs="Times New Roman"/>
                <w:sz w:val="24"/>
                <w:szCs w:val="24"/>
              </w:rPr>
              <w:t>Hydroxychloroquine</w:t>
            </w:r>
          </w:p>
        </w:tc>
        <w:tc>
          <w:tcPr>
            <w:tcW w:w="1275" w:type="dxa"/>
            <w:gridSpan w:val="2"/>
            <w:tcBorders>
              <w:top w:val="single" w:sz="4" w:space="0" w:color="000000"/>
              <w:left w:val="nil"/>
              <w:bottom w:val="nil"/>
              <w:right w:val="nil"/>
            </w:tcBorders>
            <w:vAlign w:val="center"/>
          </w:tcPr>
          <w:p w14:paraId="59A2BF49" w14:textId="77777777" w:rsidR="00D335FC" w:rsidRPr="00F16B11" w:rsidRDefault="00D335FC" w:rsidP="008762CE">
            <w:pPr>
              <w:widowControl w:val="0"/>
              <w:spacing w:after="0"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12 (63)</w:t>
            </w:r>
          </w:p>
        </w:tc>
        <w:tc>
          <w:tcPr>
            <w:tcW w:w="1230" w:type="dxa"/>
            <w:tcBorders>
              <w:top w:val="single" w:sz="4" w:space="0" w:color="000000"/>
              <w:left w:val="nil"/>
              <w:bottom w:val="nil"/>
              <w:right w:val="nil"/>
            </w:tcBorders>
            <w:vAlign w:val="center"/>
          </w:tcPr>
          <w:p w14:paraId="53914A6E" w14:textId="77777777" w:rsidR="00D335FC" w:rsidRPr="00F16B11" w:rsidRDefault="00D335FC" w:rsidP="008762CE">
            <w:pPr>
              <w:widowControl w:val="0"/>
              <w:spacing w:after="0"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14 (70)</w:t>
            </w:r>
          </w:p>
        </w:tc>
        <w:tc>
          <w:tcPr>
            <w:tcW w:w="900" w:type="dxa"/>
            <w:tcBorders>
              <w:top w:val="single" w:sz="4" w:space="0" w:color="000000"/>
              <w:left w:val="nil"/>
              <w:bottom w:val="nil"/>
              <w:right w:val="nil"/>
            </w:tcBorders>
            <w:vAlign w:val="center"/>
          </w:tcPr>
          <w:p w14:paraId="07E141EB" w14:textId="77777777" w:rsidR="00D335FC" w:rsidRPr="00F16B11" w:rsidRDefault="00D335FC" w:rsidP="008762CE">
            <w:pPr>
              <w:widowControl w:val="0"/>
              <w:spacing w:after="0"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0.91</w:t>
            </w:r>
          </w:p>
        </w:tc>
        <w:tc>
          <w:tcPr>
            <w:tcW w:w="1410" w:type="dxa"/>
            <w:tcBorders>
              <w:top w:val="single" w:sz="4" w:space="0" w:color="000000"/>
              <w:left w:val="nil"/>
              <w:bottom w:val="nil"/>
              <w:right w:val="nil"/>
            </w:tcBorders>
            <w:vAlign w:val="center"/>
          </w:tcPr>
          <w:p w14:paraId="67AA93AF" w14:textId="77777777" w:rsidR="00D335FC" w:rsidRPr="00F16B11" w:rsidRDefault="00D335FC" w:rsidP="008762CE">
            <w:pPr>
              <w:widowControl w:val="0"/>
              <w:spacing w:after="0"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19 (100)</w:t>
            </w:r>
          </w:p>
        </w:tc>
        <w:tc>
          <w:tcPr>
            <w:tcW w:w="1275" w:type="dxa"/>
            <w:tcBorders>
              <w:top w:val="single" w:sz="4" w:space="0" w:color="000000"/>
              <w:left w:val="nil"/>
              <w:bottom w:val="nil"/>
              <w:right w:val="nil"/>
            </w:tcBorders>
            <w:vAlign w:val="center"/>
          </w:tcPr>
          <w:p w14:paraId="15F08D13" w14:textId="77777777" w:rsidR="00D335FC" w:rsidRPr="00F16B11" w:rsidRDefault="00D335FC" w:rsidP="008762CE">
            <w:pPr>
              <w:widowControl w:val="0"/>
              <w:spacing w:after="0"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20 (100)</w:t>
            </w:r>
          </w:p>
        </w:tc>
        <w:tc>
          <w:tcPr>
            <w:tcW w:w="795" w:type="dxa"/>
            <w:tcBorders>
              <w:top w:val="single" w:sz="4" w:space="0" w:color="000000"/>
              <w:left w:val="nil"/>
              <w:bottom w:val="nil"/>
            </w:tcBorders>
            <w:vAlign w:val="center"/>
          </w:tcPr>
          <w:p w14:paraId="4860C5FA" w14:textId="77777777" w:rsidR="00D335FC" w:rsidRPr="00F16B11" w:rsidRDefault="00D335FC" w:rsidP="008762CE">
            <w:pPr>
              <w:widowControl w:val="0"/>
              <w:spacing w:after="0"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NA</w:t>
            </w:r>
          </w:p>
        </w:tc>
      </w:tr>
      <w:tr w:rsidR="00D335FC" w:rsidRPr="00F16B11" w14:paraId="24A01ABC" w14:textId="77777777" w:rsidTr="008762CE">
        <w:tc>
          <w:tcPr>
            <w:tcW w:w="3155" w:type="dxa"/>
            <w:tcBorders>
              <w:top w:val="nil"/>
              <w:bottom w:val="nil"/>
              <w:right w:val="nil"/>
            </w:tcBorders>
            <w:vAlign w:val="center"/>
          </w:tcPr>
          <w:p w14:paraId="361A7229" w14:textId="77777777" w:rsidR="00D335FC" w:rsidRPr="00F16B11" w:rsidRDefault="00D335FC" w:rsidP="008762CE">
            <w:pPr>
              <w:widowControl w:val="0"/>
              <w:spacing w:after="0" w:line="480" w:lineRule="auto"/>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Immunosuppressant drugs</w:t>
            </w:r>
          </w:p>
        </w:tc>
        <w:tc>
          <w:tcPr>
            <w:tcW w:w="1275" w:type="dxa"/>
            <w:gridSpan w:val="2"/>
            <w:tcBorders>
              <w:top w:val="nil"/>
              <w:left w:val="nil"/>
              <w:bottom w:val="nil"/>
              <w:right w:val="nil"/>
            </w:tcBorders>
            <w:vAlign w:val="center"/>
          </w:tcPr>
          <w:p w14:paraId="2F9A601E" w14:textId="77777777" w:rsidR="00D335FC" w:rsidRPr="00F16B11" w:rsidRDefault="00D335FC" w:rsidP="008762CE">
            <w:pPr>
              <w:widowControl w:val="0"/>
              <w:spacing w:after="0"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12 (63.2)</w:t>
            </w:r>
          </w:p>
        </w:tc>
        <w:tc>
          <w:tcPr>
            <w:tcW w:w="1230" w:type="dxa"/>
            <w:tcBorders>
              <w:top w:val="nil"/>
              <w:left w:val="nil"/>
              <w:bottom w:val="nil"/>
              <w:right w:val="nil"/>
            </w:tcBorders>
            <w:vAlign w:val="center"/>
          </w:tcPr>
          <w:p w14:paraId="506634D7" w14:textId="77777777" w:rsidR="00D335FC" w:rsidRPr="00F16B11" w:rsidRDefault="00D335FC" w:rsidP="008762CE">
            <w:pPr>
              <w:widowControl w:val="0"/>
              <w:spacing w:after="0"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12 (60)</w:t>
            </w:r>
          </w:p>
        </w:tc>
        <w:tc>
          <w:tcPr>
            <w:tcW w:w="900" w:type="dxa"/>
            <w:tcBorders>
              <w:top w:val="nil"/>
              <w:left w:val="nil"/>
              <w:bottom w:val="nil"/>
              <w:right w:val="nil"/>
            </w:tcBorders>
            <w:vAlign w:val="center"/>
          </w:tcPr>
          <w:p w14:paraId="7C06030E" w14:textId="77777777" w:rsidR="00D335FC" w:rsidRPr="00F16B11" w:rsidRDefault="00D335FC" w:rsidP="008762CE">
            <w:pPr>
              <w:widowControl w:val="0"/>
              <w:spacing w:after="0"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0.84</w:t>
            </w:r>
          </w:p>
        </w:tc>
        <w:tc>
          <w:tcPr>
            <w:tcW w:w="1410" w:type="dxa"/>
            <w:tcBorders>
              <w:top w:val="nil"/>
              <w:left w:val="nil"/>
              <w:bottom w:val="nil"/>
              <w:right w:val="nil"/>
            </w:tcBorders>
            <w:vAlign w:val="center"/>
          </w:tcPr>
          <w:p w14:paraId="0DB01FF5" w14:textId="77777777" w:rsidR="00D335FC" w:rsidRPr="00F16B11" w:rsidRDefault="00D335FC" w:rsidP="008762CE">
            <w:pPr>
              <w:widowControl w:val="0"/>
              <w:spacing w:after="0"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19 (100)</w:t>
            </w:r>
          </w:p>
        </w:tc>
        <w:tc>
          <w:tcPr>
            <w:tcW w:w="1275" w:type="dxa"/>
            <w:tcBorders>
              <w:top w:val="nil"/>
              <w:left w:val="nil"/>
              <w:bottom w:val="nil"/>
              <w:right w:val="nil"/>
            </w:tcBorders>
            <w:vAlign w:val="center"/>
          </w:tcPr>
          <w:p w14:paraId="38C6B4D3" w14:textId="77777777" w:rsidR="00D335FC" w:rsidRPr="00F16B11" w:rsidRDefault="00D335FC" w:rsidP="008762CE">
            <w:pPr>
              <w:widowControl w:val="0"/>
              <w:spacing w:after="0"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20 (100)</w:t>
            </w:r>
          </w:p>
        </w:tc>
        <w:tc>
          <w:tcPr>
            <w:tcW w:w="795" w:type="dxa"/>
            <w:tcBorders>
              <w:top w:val="nil"/>
              <w:left w:val="nil"/>
              <w:bottom w:val="nil"/>
            </w:tcBorders>
            <w:vAlign w:val="center"/>
          </w:tcPr>
          <w:p w14:paraId="3A13CCAF" w14:textId="77777777" w:rsidR="00D335FC" w:rsidRPr="00F16B11" w:rsidRDefault="00D335FC" w:rsidP="008762CE">
            <w:pPr>
              <w:widowControl w:val="0"/>
              <w:spacing w:after="0"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NA</w:t>
            </w:r>
          </w:p>
        </w:tc>
      </w:tr>
      <w:tr w:rsidR="00D335FC" w:rsidRPr="00F16B11" w14:paraId="2C7F25C3" w14:textId="77777777" w:rsidTr="008762CE">
        <w:tc>
          <w:tcPr>
            <w:tcW w:w="3155" w:type="dxa"/>
            <w:tcBorders>
              <w:top w:val="nil"/>
              <w:bottom w:val="nil"/>
              <w:right w:val="nil"/>
            </w:tcBorders>
            <w:vAlign w:val="center"/>
          </w:tcPr>
          <w:p w14:paraId="2D2E6AE0" w14:textId="77777777" w:rsidR="00D335FC" w:rsidRPr="00F16B11" w:rsidRDefault="00D335FC" w:rsidP="008762CE">
            <w:pPr>
              <w:widowControl w:val="0"/>
              <w:spacing w:after="0" w:line="480" w:lineRule="auto"/>
              <w:jc w:val="center"/>
              <w:rPr>
                <w:rFonts w:ascii="Times New Roman" w:eastAsia="Times New Roman" w:hAnsi="Times New Roman" w:cs="Times New Roman"/>
                <w:b/>
                <w:sz w:val="24"/>
                <w:szCs w:val="24"/>
              </w:rPr>
            </w:pPr>
            <w:r w:rsidRPr="00F16B11">
              <w:rPr>
                <w:rFonts w:ascii="Times New Roman" w:eastAsia="Times New Roman" w:hAnsi="Times New Roman" w:cs="Times New Roman"/>
                <w:sz w:val="24"/>
                <w:szCs w:val="24"/>
              </w:rPr>
              <w:t>Azathioprine</w:t>
            </w:r>
          </w:p>
        </w:tc>
        <w:tc>
          <w:tcPr>
            <w:tcW w:w="1275" w:type="dxa"/>
            <w:gridSpan w:val="2"/>
            <w:tcBorders>
              <w:top w:val="nil"/>
              <w:left w:val="nil"/>
              <w:bottom w:val="nil"/>
              <w:right w:val="nil"/>
            </w:tcBorders>
            <w:vAlign w:val="center"/>
          </w:tcPr>
          <w:p w14:paraId="68C6DF46" w14:textId="77777777" w:rsidR="00D335FC" w:rsidRPr="00F16B11" w:rsidRDefault="00D335FC" w:rsidP="008762CE">
            <w:pPr>
              <w:widowControl w:val="0"/>
              <w:spacing w:after="0"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0 (0)</w:t>
            </w:r>
          </w:p>
        </w:tc>
        <w:tc>
          <w:tcPr>
            <w:tcW w:w="1230" w:type="dxa"/>
            <w:tcBorders>
              <w:top w:val="nil"/>
              <w:left w:val="nil"/>
              <w:bottom w:val="nil"/>
              <w:right w:val="nil"/>
            </w:tcBorders>
            <w:vAlign w:val="center"/>
          </w:tcPr>
          <w:p w14:paraId="307080B5" w14:textId="77777777" w:rsidR="00D335FC" w:rsidRPr="00F16B11" w:rsidRDefault="00D335FC" w:rsidP="008762CE">
            <w:pPr>
              <w:widowControl w:val="0"/>
              <w:spacing w:after="0"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4 (20)</w:t>
            </w:r>
          </w:p>
        </w:tc>
        <w:tc>
          <w:tcPr>
            <w:tcW w:w="900" w:type="dxa"/>
            <w:tcBorders>
              <w:top w:val="nil"/>
              <w:left w:val="nil"/>
              <w:bottom w:val="nil"/>
              <w:right w:val="nil"/>
            </w:tcBorders>
            <w:vAlign w:val="center"/>
          </w:tcPr>
          <w:p w14:paraId="67067864" w14:textId="77777777" w:rsidR="00D335FC" w:rsidRPr="00F16B11" w:rsidRDefault="00D335FC" w:rsidP="008762CE">
            <w:pPr>
              <w:widowControl w:val="0"/>
              <w:spacing w:after="0"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NA</w:t>
            </w:r>
          </w:p>
        </w:tc>
        <w:tc>
          <w:tcPr>
            <w:tcW w:w="1410" w:type="dxa"/>
            <w:tcBorders>
              <w:top w:val="nil"/>
              <w:left w:val="nil"/>
              <w:bottom w:val="nil"/>
              <w:right w:val="nil"/>
            </w:tcBorders>
            <w:vAlign w:val="center"/>
          </w:tcPr>
          <w:p w14:paraId="7E458FF5" w14:textId="77777777" w:rsidR="00D335FC" w:rsidRPr="00F16B11" w:rsidRDefault="00D335FC" w:rsidP="008762CE">
            <w:pPr>
              <w:widowControl w:val="0"/>
              <w:spacing w:after="0"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2 (10.5)</w:t>
            </w:r>
          </w:p>
        </w:tc>
        <w:tc>
          <w:tcPr>
            <w:tcW w:w="1275" w:type="dxa"/>
            <w:tcBorders>
              <w:top w:val="nil"/>
              <w:left w:val="nil"/>
              <w:bottom w:val="nil"/>
              <w:right w:val="nil"/>
            </w:tcBorders>
            <w:vAlign w:val="center"/>
          </w:tcPr>
          <w:p w14:paraId="4DB09EF7" w14:textId="77777777" w:rsidR="00D335FC" w:rsidRPr="00F16B11" w:rsidRDefault="00D335FC" w:rsidP="008762CE">
            <w:pPr>
              <w:widowControl w:val="0"/>
              <w:spacing w:after="0"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9 (45)</w:t>
            </w:r>
          </w:p>
        </w:tc>
        <w:tc>
          <w:tcPr>
            <w:tcW w:w="795" w:type="dxa"/>
            <w:tcBorders>
              <w:top w:val="nil"/>
              <w:left w:val="nil"/>
              <w:bottom w:val="nil"/>
            </w:tcBorders>
            <w:vAlign w:val="center"/>
          </w:tcPr>
          <w:p w14:paraId="0BCF5867" w14:textId="77777777" w:rsidR="00D335FC" w:rsidRPr="00F16B11" w:rsidRDefault="00D335FC" w:rsidP="008762CE">
            <w:pPr>
              <w:widowControl w:val="0"/>
              <w:spacing w:after="0"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0.03</w:t>
            </w:r>
          </w:p>
        </w:tc>
      </w:tr>
      <w:tr w:rsidR="00D335FC" w:rsidRPr="00F16B11" w14:paraId="09E70F35" w14:textId="77777777" w:rsidTr="008762CE">
        <w:tc>
          <w:tcPr>
            <w:tcW w:w="3155" w:type="dxa"/>
            <w:tcBorders>
              <w:top w:val="nil"/>
              <w:bottom w:val="nil"/>
              <w:right w:val="nil"/>
            </w:tcBorders>
            <w:vAlign w:val="center"/>
          </w:tcPr>
          <w:p w14:paraId="24D8621D" w14:textId="77777777" w:rsidR="00D335FC" w:rsidRPr="00F16B11" w:rsidRDefault="00D335FC" w:rsidP="008762CE">
            <w:pPr>
              <w:widowControl w:val="0"/>
              <w:spacing w:after="0"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Methotrexate</w:t>
            </w:r>
          </w:p>
        </w:tc>
        <w:tc>
          <w:tcPr>
            <w:tcW w:w="1275" w:type="dxa"/>
            <w:gridSpan w:val="2"/>
            <w:tcBorders>
              <w:top w:val="nil"/>
              <w:left w:val="nil"/>
              <w:bottom w:val="nil"/>
              <w:right w:val="nil"/>
            </w:tcBorders>
            <w:vAlign w:val="center"/>
          </w:tcPr>
          <w:p w14:paraId="1C38B5D3" w14:textId="77777777" w:rsidR="00D335FC" w:rsidRPr="00F16B11" w:rsidRDefault="00D335FC" w:rsidP="008762CE">
            <w:pPr>
              <w:widowControl w:val="0"/>
              <w:spacing w:after="0"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1 (5.3)</w:t>
            </w:r>
          </w:p>
        </w:tc>
        <w:tc>
          <w:tcPr>
            <w:tcW w:w="1230" w:type="dxa"/>
            <w:tcBorders>
              <w:top w:val="nil"/>
              <w:left w:val="nil"/>
              <w:bottom w:val="nil"/>
              <w:right w:val="nil"/>
            </w:tcBorders>
            <w:vAlign w:val="center"/>
          </w:tcPr>
          <w:p w14:paraId="46A41779" w14:textId="77777777" w:rsidR="00D335FC" w:rsidRPr="00F16B11" w:rsidRDefault="00D335FC" w:rsidP="008762CE">
            <w:pPr>
              <w:widowControl w:val="0"/>
              <w:spacing w:after="0"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0 (0)</w:t>
            </w:r>
          </w:p>
        </w:tc>
        <w:tc>
          <w:tcPr>
            <w:tcW w:w="900" w:type="dxa"/>
            <w:tcBorders>
              <w:top w:val="nil"/>
              <w:left w:val="nil"/>
              <w:bottom w:val="nil"/>
              <w:right w:val="nil"/>
            </w:tcBorders>
            <w:vAlign w:val="center"/>
          </w:tcPr>
          <w:p w14:paraId="20256329" w14:textId="77777777" w:rsidR="00D335FC" w:rsidRPr="00F16B11" w:rsidRDefault="00D335FC" w:rsidP="008762CE">
            <w:pPr>
              <w:widowControl w:val="0"/>
              <w:spacing w:after="0"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NA</w:t>
            </w:r>
          </w:p>
        </w:tc>
        <w:tc>
          <w:tcPr>
            <w:tcW w:w="1410" w:type="dxa"/>
            <w:tcBorders>
              <w:top w:val="nil"/>
              <w:left w:val="nil"/>
              <w:bottom w:val="nil"/>
              <w:right w:val="nil"/>
            </w:tcBorders>
            <w:vAlign w:val="center"/>
          </w:tcPr>
          <w:p w14:paraId="5559EC71" w14:textId="77777777" w:rsidR="00D335FC" w:rsidRPr="00F16B11" w:rsidRDefault="00D335FC" w:rsidP="008762CE">
            <w:pPr>
              <w:widowControl w:val="0"/>
              <w:spacing w:after="0"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0 (0)</w:t>
            </w:r>
          </w:p>
        </w:tc>
        <w:tc>
          <w:tcPr>
            <w:tcW w:w="1275" w:type="dxa"/>
            <w:tcBorders>
              <w:top w:val="nil"/>
              <w:left w:val="nil"/>
              <w:bottom w:val="nil"/>
              <w:right w:val="nil"/>
            </w:tcBorders>
            <w:vAlign w:val="center"/>
          </w:tcPr>
          <w:p w14:paraId="75D08F01" w14:textId="77777777" w:rsidR="00D335FC" w:rsidRPr="00F16B11" w:rsidRDefault="00D335FC" w:rsidP="008762CE">
            <w:pPr>
              <w:widowControl w:val="0"/>
              <w:spacing w:after="0"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0 (0)</w:t>
            </w:r>
          </w:p>
        </w:tc>
        <w:tc>
          <w:tcPr>
            <w:tcW w:w="795" w:type="dxa"/>
            <w:tcBorders>
              <w:top w:val="nil"/>
              <w:left w:val="nil"/>
              <w:bottom w:val="nil"/>
            </w:tcBorders>
            <w:vAlign w:val="center"/>
          </w:tcPr>
          <w:p w14:paraId="5D0AFF0A" w14:textId="77777777" w:rsidR="00D335FC" w:rsidRPr="00F16B11" w:rsidRDefault="00D335FC" w:rsidP="008762CE">
            <w:pPr>
              <w:widowControl w:val="0"/>
              <w:spacing w:after="0"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NA</w:t>
            </w:r>
          </w:p>
        </w:tc>
      </w:tr>
      <w:tr w:rsidR="00D335FC" w:rsidRPr="00F16B11" w14:paraId="1CEB730A" w14:textId="77777777" w:rsidTr="008762CE">
        <w:tc>
          <w:tcPr>
            <w:tcW w:w="3155" w:type="dxa"/>
            <w:tcBorders>
              <w:top w:val="nil"/>
              <w:bottom w:val="nil"/>
              <w:right w:val="nil"/>
            </w:tcBorders>
            <w:vAlign w:val="center"/>
          </w:tcPr>
          <w:p w14:paraId="003F1F4D" w14:textId="77777777" w:rsidR="00D335FC" w:rsidRPr="00F16B11" w:rsidRDefault="00D335FC" w:rsidP="008762CE">
            <w:pPr>
              <w:widowControl w:val="0"/>
              <w:spacing w:after="0"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Cyclosporine</w:t>
            </w:r>
          </w:p>
        </w:tc>
        <w:tc>
          <w:tcPr>
            <w:tcW w:w="1275" w:type="dxa"/>
            <w:gridSpan w:val="2"/>
            <w:tcBorders>
              <w:top w:val="nil"/>
              <w:left w:val="nil"/>
              <w:bottom w:val="nil"/>
              <w:right w:val="nil"/>
            </w:tcBorders>
            <w:vAlign w:val="center"/>
          </w:tcPr>
          <w:p w14:paraId="10A0858C" w14:textId="77777777" w:rsidR="00D335FC" w:rsidRPr="00F16B11" w:rsidRDefault="00D335FC" w:rsidP="008762CE">
            <w:pPr>
              <w:widowControl w:val="0"/>
              <w:spacing w:after="0"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0 (0)</w:t>
            </w:r>
          </w:p>
        </w:tc>
        <w:tc>
          <w:tcPr>
            <w:tcW w:w="1230" w:type="dxa"/>
            <w:tcBorders>
              <w:top w:val="nil"/>
              <w:left w:val="nil"/>
              <w:bottom w:val="nil"/>
              <w:right w:val="nil"/>
            </w:tcBorders>
            <w:vAlign w:val="center"/>
          </w:tcPr>
          <w:p w14:paraId="793004A7" w14:textId="77777777" w:rsidR="00D335FC" w:rsidRPr="00F16B11" w:rsidRDefault="00D335FC" w:rsidP="008762CE">
            <w:pPr>
              <w:widowControl w:val="0"/>
              <w:spacing w:after="0"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0 (0)</w:t>
            </w:r>
          </w:p>
        </w:tc>
        <w:tc>
          <w:tcPr>
            <w:tcW w:w="900" w:type="dxa"/>
            <w:tcBorders>
              <w:top w:val="nil"/>
              <w:left w:val="nil"/>
              <w:bottom w:val="nil"/>
              <w:right w:val="nil"/>
            </w:tcBorders>
            <w:vAlign w:val="center"/>
          </w:tcPr>
          <w:p w14:paraId="422F7D19" w14:textId="77777777" w:rsidR="00D335FC" w:rsidRPr="00F16B11" w:rsidRDefault="00D335FC" w:rsidP="008762CE">
            <w:pPr>
              <w:widowControl w:val="0"/>
              <w:spacing w:after="0"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NA</w:t>
            </w:r>
          </w:p>
        </w:tc>
        <w:tc>
          <w:tcPr>
            <w:tcW w:w="1410" w:type="dxa"/>
            <w:tcBorders>
              <w:top w:val="nil"/>
              <w:left w:val="nil"/>
              <w:bottom w:val="nil"/>
              <w:right w:val="nil"/>
            </w:tcBorders>
            <w:vAlign w:val="center"/>
          </w:tcPr>
          <w:p w14:paraId="32DF12DB" w14:textId="77777777" w:rsidR="00D335FC" w:rsidRPr="00F16B11" w:rsidRDefault="00D335FC" w:rsidP="008762CE">
            <w:pPr>
              <w:widowControl w:val="0"/>
              <w:spacing w:after="0"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0 (0)</w:t>
            </w:r>
          </w:p>
        </w:tc>
        <w:tc>
          <w:tcPr>
            <w:tcW w:w="1275" w:type="dxa"/>
            <w:tcBorders>
              <w:top w:val="nil"/>
              <w:left w:val="nil"/>
              <w:bottom w:val="nil"/>
              <w:right w:val="nil"/>
            </w:tcBorders>
            <w:vAlign w:val="center"/>
          </w:tcPr>
          <w:p w14:paraId="32E32F2E" w14:textId="77777777" w:rsidR="00D335FC" w:rsidRPr="00F16B11" w:rsidRDefault="00D335FC" w:rsidP="008762CE">
            <w:pPr>
              <w:widowControl w:val="0"/>
              <w:spacing w:after="0"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1 (5)</w:t>
            </w:r>
          </w:p>
        </w:tc>
        <w:tc>
          <w:tcPr>
            <w:tcW w:w="795" w:type="dxa"/>
            <w:tcBorders>
              <w:top w:val="nil"/>
              <w:left w:val="nil"/>
              <w:bottom w:val="nil"/>
            </w:tcBorders>
            <w:vAlign w:val="center"/>
          </w:tcPr>
          <w:p w14:paraId="5095C676" w14:textId="77777777" w:rsidR="00D335FC" w:rsidRPr="00F16B11" w:rsidRDefault="00D335FC" w:rsidP="008762CE">
            <w:pPr>
              <w:widowControl w:val="0"/>
              <w:spacing w:after="0"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NA</w:t>
            </w:r>
          </w:p>
        </w:tc>
      </w:tr>
      <w:tr w:rsidR="00D335FC" w:rsidRPr="00F16B11" w14:paraId="506E2829" w14:textId="77777777" w:rsidTr="008762CE">
        <w:tc>
          <w:tcPr>
            <w:tcW w:w="3155" w:type="dxa"/>
            <w:tcBorders>
              <w:top w:val="nil"/>
              <w:bottom w:val="nil"/>
              <w:right w:val="nil"/>
            </w:tcBorders>
            <w:vAlign w:val="center"/>
          </w:tcPr>
          <w:p w14:paraId="0FA8F5C4" w14:textId="77777777" w:rsidR="00D335FC" w:rsidRPr="00F16B11" w:rsidRDefault="00D335FC" w:rsidP="008762CE">
            <w:pPr>
              <w:widowControl w:val="0"/>
              <w:spacing w:after="0"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Mycophenolate mofetil</w:t>
            </w:r>
          </w:p>
        </w:tc>
        <w:tc>
          <w:tcPr>
            <w:tcW w:w="1275" w:type="dxa"/>
            <w:gridSpan w:val="2"/>
            <w:tcBorders>
              <w:top w:val="nil"/>
              <w:left w:val="nil"/>
              <w:bottom w:val="nil"/>
              <w:right w:val="nil"/>
            </w:tcBorders>
            <w:vAlign w:val="center"/>
          </w:tcPr>
          <w:p w14:paraId="5FE91D58" w14:textId="77777777" w:rsidR="00D335FC" w:rsidRPr="00F16B11" w:rsidRDefault="00D335FC" w:rsidP="008762CE">
            <w:pPr>
              <w:widowControl w:val="0"/>
              <w:spacing w:after="0"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8 (42.1)</w:t>
            </w:r>
          </w:p>
        </w:tc>
        <w:tc>
          <w:tcPr>
            <w:tcW w:w="1230" w:type="dxa"/>
            <w:tcBorders>
              <w:top w:val="nil"/>
              <w:left w:val="nil"/>
              <w:bottom w:val="nil"/>
              <w:right w:val="nil"/>
            </w:tcBorders>
            <w:vAlign w:val="center"/>
          </w:tcPr>
          <w:p w14:paraId="0D179B34" w14:textId="77777777" w:rsidR="00D335FC" w:rsidRPr="00F16B11" w:rsidRDefault="00D335FC" w:rsidP="008762CE">
            <w:pPr>
              <w:widowControl w:val="0"/>
              <w:spacing w:after="0"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7 (35)</w:t>
            </w:r>
          </w:p>
        </w:tc>
        <w:tc>
          <w:tcPr>
            <w:tcW w:w="900" w:type="dxa"/>
            <w:tcBorders>
              <w:top w:val="nil"/>
              <w:left w:val="nil"/>
              <w:bottom w:val="nil"/>
              <w:right w:val="nil"/>
            </w:tcBorders>
            <w:vAlign w:val="center"/>
          </w:tcPr>
          <w:p w14:paraId="5DA9D263" w14:textId="77777777" w:rsidR="00D335FC" w:rsidRPr="00F16B11" w:rsidRDefault="00D335FC" w:rsidP="008762CE">
            <w:pPr>
              <w:widowControl w:val="0"/>
              <w:spacing w:after="0"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0.89</w:t>
            </w:r>
          </w:p>
        </w:tc>
        <w:tc>
          <w:tcPr>
            <w:tcW w:w="1410" w:type="dxa"/>
            <w:tcBorders>
              <w:top w:val="nil"/>
              <w:left w:val="nil"/>
              <w:bottom w:val="nil"/>
              <w:right w:val="nil"/>
            </w:tcBorders>
            <w:vAlign w:val="center"/>
          </w:tcPr>
          <w:p w14:paraId="56F8F828" w14:textId="77777777" w:rsidR="00D335FC" w:rsidRPr="00F16B11" w:rsidRDefault="00D335FC" w:rsidP="008762CE">
            <w:pPr>
              <w:widowControl w:val="0"/>
              <w:spacing w:after="0"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13 (68.4)</w:t>
            </w:r>
          </w:p>
        </w:tc>
        <w:tc>
          <w:tcPr>
            <w:tcW w:w="1275" w:type="dxa"/>
            <w:tcBorders>
              <w:top w:val="nil"/>
              <w:left w:val="nil"/>
              <w:bottom w:val="nil"/>
              <w:right w:val="nil"/>
            </w:tcBorders>
            <w:vAlign w:val="center"/>
          </w:tcPr>
          <w:p w14:paraId="2854E85B" w14:textId="77777777" w:rsidR="00D335FC" w:rsidRPr="00F16B11" w:rsidRDefault="00D335FC" w:rsidP="008762CE">
            <w:pPr>
              <w:widowControl w:val="0"/>
              <w:spacing w:after="0"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7 (35)</w:t>
            </w:r>
          </w:p>
        </w:tc>
        <w:tc>
          <w:tcPr>
            <w:tcW w:w="795" w:type="dxa"/>
            <w:tcBorders>
              <w:top w:val="nil"/>
              <w:left w:val="nil"/>
              <w:bottom w:val="nil"/>
            </w:tcBorders>
            <w:vAlign w:val="center"/>
          </w:tcPr>
          <w:p w14:paraId="5C62AC05" w14:textId="77777777" w:rsidR="00D335FC" w:rsidRPr="00F16B11" w:rsidRDefault="00D335FC" w:rsidP="008762CE">
            <w:pPr>
              <w:widowControl w:val="0"/>
              <w:spacing w:after="0"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0.01</w:t>
            </w:r>
          </w:p>
        </w:tc>
      </w:tr>
      <w:tr w:rsidR="00D335FC" w:rsidRPr="00F16B11" w14:paraId="4695DB25" w14:textId="77777777" w:rsidTr="008762CE">
        <w:tc>
          <w:tcPr>
            <w:tcW w:w="3155" w:type="dxa"/>
            <w:tcBorders>
              <w:top w:val="nil"/>
              <w:bottom w:val="nil"/>
              <w:right w:val="nil"/>
            </w:tcBorders>
            <w:vAlign w:val="center"/>
          </w:tcPr>
          <w:p w14:paraId="2D079FC3" w14:textId="77777777" w:rsidR="00D335FC" w:rsidRPr="00F16B11" w:rsidRDefault="00D335FC" w:rsidP="008762CE">
            <w:pPr>
              <w:widowControl w:val="0"/>
              <w:spacing w:after="0"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Mycophenolate mofetil +Tacrolimus</w:t>
            </w:r>
          </w:p>
        </w:tc>
        <w:tc>
          <w:tcPr>
            <w:tcW w:w="1275" w:type="dxa"/>
            <w:gridSpan w:val="2"/>
            <w:tcBorders>
              <w:top w:val="nil"/>
              <w:left w:val="nil"/>
              <w:bottom w:val="nil"/>
              <w:right w:val="nil"/>
            </w:tcBorders>
            <w:vAlign w:val="center"/>
          </w:tcPr>
          <w:p w14:paraId="1888C0C7" w14:textId="77777777" w:rsidR="00D335FC" w:rsidRPr="00F16B11" w:rsidRDefault="00D335FC" w:rsidP="008762CE">
            <w:pPr>
              <w:widowControl w:val="0"/>
              <w:spacing w:after="0"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0 (0)</w:t>
            </w:r>
          </w:p>
        </w:tc>
        <w:tc>
          <w:tcPr>
            <w:tcW w:w="1230" w:type="dxa"/>
            <w:tcBorders>
              <w:top w:val="nil"/>
              <w:left w:val="nil"/>
              <w:bottom w:val="nil"/>
              <w:right w:val="nil"/>
            </w:tcBorders>
            <w:vAlign w:val="center"/>
          </w:tcPr>
          <w:p w14:paraId="515849F7" w14:textId="77777777" w:rsidR="00D335FC" w:rsidRPr="00F16B11" w:rsidRDefault="00D335FC" w:rsidP="008762CE">
            <w:pPr>
              <w:widowControl w:val="0"/>
              <w:spacing w:after="0"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0 (0)</w:t>
            </w:r>
          </w:p>
        </w:tc>
        <w:tc>
          <w:tcPr>
            <w:tcW w:w="900" w:type="dxa"/>
            <w:tcBorders>
              <w:top w:val="nil"/>
              <w:left w:val="nil"/>
              <w:bottom w:val="nil"/>
              <w:right w:val="nil"/>
            </w:tcBorders>
            <w:vAlign w:val="center"/>
          </w:tcPr>
          <w:p w14:paraId="431A60FF" w14:textId="77777777" w:rsidR="00D335FC" w:rsidRPr="00F16B11" w:rsidRDefault="00D335FC" w:rsidP="008762CE">
            <w:pPr>
              <w:widowControl w:val="0"/>
              <w:spacing w:after="0"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NA</w:t>
            </w:r>
          </w:p>
        </w:tc>
        <w:tc>
          <w:tcPr>
            <w:tcW w:w="1410" w:type="dxa"/>
            <w:tcBorders>
              <w:top w:val="nil"/>
              <w:left w:val="nil"/>
              <w:bottom w:val="nil"/>
              <w:right w:val="nil"/>
            </w:tcBorders>
            <w:vAlign w:val="center"/>
          </w:tcPr>
          <w:p w14:paraId="6607EF6D" w14:textId="77777777" w:rsidR="00D335FC" w:rsidRPr="00F16B11" w:rsidRDefault="00D335FC" w:rsidP="008762CE">
            <w:pPr>
              <w:widowControl w:val="0"/>
              <w:spacing w:after="0"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1 (5.3)</w:t>
            </w:r>
          </w:p>
        </w:tc>
        <w:tc>
          <w:tcPr>
            <w:tcW w:w="1275" w:type="dxa"/>
            <w:tcBorders>
              <w:top w:val="nil"/>
              <w:left w:val="nil"/>
              <w:bottom w:val="nil"/>
              <w:right w:val="nil"/>
            </w:tcBorders>
            <w:vAlign w:val="center"/>
          </w:tcPr>
          <w:p w14:paraId="59790BCD" w14:textId="77777777" w:rsidR="00D335FC" w:rsidRPr="00F16B11" w:rsidRDefault="00D335FC" w:rsidP="008762CE">
            <w:pPr>
              <w:widowControl w:val="0"/>
              <w:spacing w:after="0"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0 (0)</w:t>
            </w:r>
          </w:p>
        </w:tc>
        <w:tc>
          <w:tcPr>
            <w:tcW w:w="795" w:type="dxa"/>
            <w:tcBorders>
              <w:top w:val="nil"/>
              <w:left w:val="nil"/>
              <w:bottom w:val="nil"/>
            </w:tcBorders>
            <w:vAlign w:val="center"/>
          </w:tcPr>
          <w:p w14:paraId="13C6A432" w14:textId="77777777" w:rsidR="00D335FC" w:rsidRPr="00F16B11" w:rsidRDefault="00D335FC" w:rsidP="008762CE">
            <w:pPr>
              <w:widowControl w:val="0"/>
              <w:spacing w:after="0"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NA</w:t>
            </w:r>
          </w:p>
        </w:tc>
      </w:tr>
      <w:tr w:rsidR="00D335FC" w:rsidRPr="00F16B11" w14:paraId="51990CF9" w14:textId="77777777" w:rsidTr="008762CE">
        <w:tc>
          <w:tcPr>
            <w:tcW w:w="3155" w:type="dxa"/>
            <w:tcBorders>
              <w:top w:val="nil"/>
              <w:bottom w:val="nil"/>
              <w:right w:val="nil"/>
            </w:tcBorders>
            <w:vAlign w:val="center"/>
          </w:tcPr>
          <w:p w14:paraId="7E04F121" w14:textId="77777777" w:rsidR="00D335FC" w:rsidRPr="00F16B11" w:rsidRDefault="00D335FC" w:rsidP="008762CE">
            <w:pPr>
              <w:widowControl w:val="0"/>
              <w:spacing w:after="0"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Cyclophosphamide</w:t>
            </w:r>
          </w:p>
        </w:tc>
        <w:tc>
          <w:tcPr>
            <w:tcW w:w="1275" w:type="dxa"/>
            <w:gridSpan w:val="2"/>
            <w:tcBorders>
              <w:top w:val="nil"/>
              <w:left w:val="nil"/>
              <w:bottom w:val="nil"/>
              <w:right w:val="nil"/>
            </w:tcBorders>
            <w:vAlign w:val="center"/>
          </w:tcPr>
          <w:p w14:paraId="1EA38543" w14:textId="77777777" w:rsidR="00D335FC" w:rsidRPr="00F16B11" w:rsidRDefault="00D335FC" w:rsidP="008762CE">
            <w:pPr>
              <w:widowControl w:val="0"/>
              <w:spacing w:after="0"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3 (15.8)</w:t>
            </w:r>
          </w:p>
        </w:tc>
        <w:tc>
          <w:tcPr>
            <w:tcW w:w="1230" w:type="dxa"/>
            <w:tcBorders>
              <w:top w:val="nil"/>
              <w:left w:val="nil"/>
              <w:bottom w:val="nil"/>
              <w:right w:val="nil"/>
            </w:tcBorders>
            <w:vAlign w:val="center"/>
          </w:tcPr>
          <w:p w14:paraId="023C2200" w14:textId="77777777" w:rsidR="00D335FC" w:rsidRPr="00F16B11" w:rsidRDefault="00D335FC" w:rsidP="008762CE">
            <w:pPr>
              <w:widowControl w:val="0"/>
              <w:spacing w:after="0"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1 (5)</w:t>
            </w:r>
          </w:p>
        </w:tc>
        <w:tc>
          <w:tcPr>
            <w:tcW w:w="900" w:type="dxa"/>
            <w:tcBorders>
              <w:top w:val="nil"/>
              <w:left w:val="nil"/>
              <w:bottom w:val="nil"/>
              <w:right w:val="nil"/>
            </w:tcBorders>
            <w:vAlign w:val="center"/>
          </w:tcPr>
          <w:p w14:paraId="57F1187D" w14:textId="77777777" w:rsidR="00D335FC" w:rsidRPr="00F16B11" w:rsidRDefault="00D335FC" w:rsidP="008762CE">
            <w:pPr>
              <w:widowControl w:val="0"/>
              <w:spacing w:after="0"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0.34</w:t>
            </w:r>
          </w:p>
        </w:tc>
        <w:tc>
          <w:tcPr>
            <w:tcW w:w="1410" w:type="dxa"/>
            <w:tcBorders>
              <w:top w:val="nil"/>
              <w:left w:val="nil"/>
              <w:bottom w:val="nil"/>
              <w:right w:val="nil"/>
            </w:tcBorders>
            <w:vAlign w:val="center"/>
          </w:tcPr>
          <w:p w14:paraId="57455FFC" w14:textId="77777777" w:rsidR="00D335FC" w:rsidRPr="00F16B11" w:rsidRDefault="00D335FC" w:rsidP="008762CE">
            <w:pPr>
              <w:widowControl w:val="0"/>
              <w:spacing w:after="0"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0 (0)</w:t>
            </w:r>
          </w:p>
        </w:tc>
        <w:tc>
          <w:tcPr>
            <w:tcW w:w="1275" w:type="dxa"/>
            <w:tcBorders>
              <w:top w:val="nil"/>
              <w:left w:val="nil"/>
              <w:bottom w:val="nil"/>
              <w:right w:val="nil"/>
            </w:tcBorders>
            <w:vAlign w:val="center"/>
          </w:tcPr>
          <w:p w14:paraId="1B801899" w14:textId="77777777" w:rsidR="00D335FC" w:rsidRPr="00F16B11" w:rsidRDefault="00D335FC" w:rsidP="008762CE">
            <w:pPr>
              <w:widowControl w:val="0"/>
              <w:spacing w:after="0"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1 (5)</w:t>
            </w:r>
          </w:p>
        </w:tc>
        <w:tc>
          <w:tcPr>
            <w:tcW w:w="795" w:type="dxa"/>
            <w:tcBorders>
              <w:top w:val="nil"/>
              <w:left w:val="nil"/>
              <w:bottom w:val="nil"/>
            </w:tcBorders>
            <w:vAlign w:val="center"/>
          </w:tcPr>
          <w:p w14:paraId="1C3C5517" w14:textId="77777777" w:rsidR="00D335FC" w:rsidRPr="00F16B11" w:rsidRDefault="00D335FC" w:rsidP="008762CE">
            <w:pPr>
              <w:widowControl w:val="0"/>
              <w:spacing w:after="0"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NA</w:t>
            </w:r>
          </w:p>
        </w:tc>
      </w:tr>
      <w:tr w:rsidR="00D335FC" w:rsidRPr="00F16B11" w14:paraId="24E17E15" w14:textId="77777777" w:rsidTr="008762CE">
        <w:tc>
          <w:tcPr>
            <w:tcW w:w="3155" w:type="dxa"/>
            <w:tcBorders>
              <w:top w:val="nil"/>
              <w:bottom w:val="nil"/>
              <w:right w:val="nil"/>
            </w:tcBorders>
            <w:vAlign w:val="center"/>
          </w:tcPr>
          <w:p w14:paraId="7793A071" w14:textId="77777777" w:rsidR="00D335FC" w:rsidRPr="00F16B11" w:rsidRDefault="00D335FC" w:rsidP="008762CE">
            <w:pPr>
              <w:widowControl w:val="0"/>
              <w:spacing w:after="0"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Rituximab</w:t>
            </w:r>
          </w:p>
        </w:tc>
        <w:tc>
          <w:tcPr>
            <w:tcW w:w="1275" w:type="dxa"/>
            <w:gridSpan w:val="2"/>
            <w:tcBorders>
              <w:top w:val="nil"/>
              <w:left w:val="nil"/>
              <w:bottom w:val="nil"/>
              <w:right w:val="nil"/>
            </w:tcBorders>
            <w:vAlign w:val="center"/>
          </w:tcPr>
          <w:p w14:paraId="757F1625" w14:textId="77777777" w:rsidR="00D335FC" w:rsidRPr="00F16B11" w:rsidRDefault="00D335FC" w:rsidP="008762CE">
            <w:pPr>
              <w:widowControl w:val="0"/>
              <w:spacing w:after="0"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0 (0)</w:t>
            </w:r>
          </w:p>
        </w:tc>
        <w:tc>
          <w:tcPr>
            <w:tcW w:w="1230" w:type="dxa"/>
            <w:tcBorders>
              <w:top w:val="nil"/>
              <w:left w:val="nil"/>
              <w:bottom w:val="nil"/>
              <w:right w:val="nil"/>
            </w:tcBorders>
            <w:vAlign w:val="center"/>
          </w:tcPr>
          <w:p w14:paraId="27817677" w14:textId="77777777" w:rsidR="00D335FC" w:rsidRPr="00F16B11" w:rsidRDefault="00D335FC" w:rsidP="008762CE">
            <w:pPr>
              <w:widowControl w:val="0"/>
              <w:spacing w:after="0"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0 (0)</w:t>
            </w:r>
          </w:p>
        </w:tc>
        <w:tc>
          <w:tcPr>
            <w:tcW w:w="900" w:type="dxa"/>
            <w:tcBorders>
              <w:top w:val="nil"/>
              <w:left w:val="nil"/>
              <w:bottom w:val="nil"/>
              <w:right w:val="nil"/>
            </w:tcBorders>
            <w:vAlign w:val="center"/>
          </w:tcPr>
          <w:p w14:paraId="2CAA71CC" w14:textId="77777777" w:rsidR="00D335FC" w:rsidRPr="00F16B11" w:rsidRDefault="00D335FC" w:rsidP="008762CE">
            <w:pPr>
              <w:widowControl w:val="0"/>
              <w:spacing w:after="0"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NA</w:t>
            </w:r>
          </w:p>
        </w:tc>
        <w:tc>
          <w:tcPr>
            <w:tcW w:w="1410" w:type="dxa"/>
            <w:tcBorders>
              <w:top w:val="nil"/>
              <w:left w:val="nil"/>
              <w:bottom w:val="nil"/>
              <w:right w:val="nil"/>
            </w:tcBorders>
            <w:vAlign w:val="center"/>
          </w:tcPr>
          <w:p w14:paraId="21DC6C4A" w14:textId="77777777" w:rsidR="00D335FC" w:rsidRPr="00F16B11" w:rsidRDefault="00D335FC" w:rsidP="008762CE">
            <w:pPr>
              <w:widowControl w:val="0"/>
              <w:spacing w:after="0"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2 (10.5)</w:t>
            </w:r>
          </w:p>
        </w:tc>
        <w:tc>
          <w:tcPr>
            <w:tcW w:w="1275" w:type="dxa"/>
            <w:tcBorders>
              <w:top w:val="nil"/>
              <w:left w:val="nil"/>
              <w:bottom w:val="nil"/>
              <w:right w:val="nil"/>
            </w:tcBorders>
            <w:vAlign w:val="center"/>
          </w:tcPr>
          <w:p w14:paraId="203309CF" w14:textId="77777777" w:rsidR="00D335FC" w:rsidRPr="00F16B11" w:rsidRDefault="00D335FC" w:rsidP="008762CE">
            <w:pPr>
              <w:widowControl w:val="0"/>
              <w:spacing w:after="0"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2 (10)</w:t>
            </w:r>
          </w:p>
        </w:tc>
        <w:tc>
          <w:tcPr>
            <w:tcW w:w="795" w:type="dxa"/>
            <w:tcBorders>
              <w:top w:val="nil"/>
              <w:left w:val="nil"/>
              <w:bottom w:val="nil"/>
            </w:tcBorders>
            <w:vAlign w:val="center"/>
          </w:tcPr>
          <w:p w14:paraId="610C0325" w14:textId="77777777" w:rsidR="00D335FC" w:rsidRPr="00F16B11" w:rsidRDefault="00D335FC" w:rsidP="008762CE">
            <w:pPr>
              <w:widowControl w:val="0"/>
              <w:spacing w:after="0"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NA</w:t>
            </w:r>
          </w:p>
        </w:tc>
      </w:tr>
      <w:tr w:rsidR="00D335FC" w:rsidRPr="00F16B11" w14:paraId="6093B805" w14:textId="77777777" w:rsidTr="008762CE">
        <w:trPr>
          <w:trHeight w:val="509"/>
        </w:trPr>
        <w:tc>
          <w:tcPr>
            <w:tcW w:w="3155" w:type="dxa"/>
            <w:tcBorders>
              <w:top w:val="nil"/>
              <w:right w:val="nil"/>
            </w:tcBorders>
            <w:vAlign w:val="center"/>
          </w:tcPr>
          <w:p w14:paraId="79AEA4B9" w14:textId="77777777" w:rsidR="00D335FC" w:rsidRPr="00F16B11" w:rsidRDefault="00D335FC" w:rsidP="008762CE">
            <w:pPr>
              <w:widowControl w:val="0"/>
              <w:spacing w:after="0"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Belimumab</w:t>
            </w:r>
          </w:p>
        </w:tc>
        <w:tc>
          <w:tcPr>
            <w:tcW w:w="1275" w:type="dxa"/>
            <w:gridSpan w:val="2"/>
            <w:tcBorders>
              <w:top w:val="nil"/>
              <w:left w:val="nil"/>
              <w:right w:val="nil"/>
            </w:tcBorders>
            <w:vAlign w:val="center"/>
          </w:tcPr>
          <w:p w14:paraId="3BF236C8" w14:textId="77777777" w:rsidR="00D335FC" w:rsidRPr="00F16B11" w:rsidRDefault="00D335FC" w:rsidP="008762CE">
            <w:pPr>
              <w:widowControl w:val="0"/>
              <w:spacing w:after="0"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0 (0)</w:t>
            </w:r>
          </w:p>
        </w:tc>
        <w:tc>
          <w:tcPr>
            <w:tcW w:w="1230" w:type="dxa"/>
            <w:tcBorders>
              <w:top w:val="nil"/>
              <w:left w:val="nil"/>
              <w:right w:val="nil"/>
            </w:tcBorders>
            <w:vAlign w:val="center"/>
          </w:tcPr>
          <w:p w14:paraId="562C6DF2" w14:textId="77777777" w:rsidR="00D335FC" w:rsidRPr="00F16B11" w:rsidRDefault="00D335FC" w:rsidP="008762CE">
            <w:pPr>
              <w:widowControl w:val="0"/>
              <w:spacing w:after="0"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0 (0)</w:t>
            </w:r>
          </w:p>
        </w:tc>
        <w:tc>
          <w:tcPr>
            <w:tcW w:w="900" w:type="dxa"/>
            <w:tcBorders>
              <w:top w:val="nil"/>
              <w:left w:val="nil"/>
              <w:right w:val="nil"/>
            </w:tcBorders>
            <w:vAlign w:val="center"/>
          </w:tcPr>
          <w:p w14:paraId="0182CE36" w14:textId="77777777" w:rsidR="00D335FC" w:rsidRPr="00F16B11" w:rsidRDefault="00D335FC" w:rsidP="008762CE">
            <w:pPr>
              <w:widowControl w:val="0"/>
              <w:spacing w:after="0"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NA</w:t>
            </w:r>
          </w:p>
        </w:tc>
        <w:tc>
          <w:tcPr>
            <w:tcW w:w="1410" w:type="dxa"/>
            <w:tcBorders>
              <w:top w:val="nil"/>
              <w:left w:val="nil"/>
              <w:right w:val="nil"/>
            </w:tcBorders>
            <w:vAlign w:val="center"/>
          </w:tcPr>
          <w:p w14:paraId="122D934F" w14:textId="77777777" w:rsidR="00D335FC" w:rsidRPr="00F16B11" w:rsidRDefault="00D335FC" w:rsidP="008762CE">
            <w:pPr>
              <w:widowControl w:val="0"/>
              <w:spacing w:after="0"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1 (5.3)</w:t>
            </w:r>
          </w:p>
        </w:tc>
        <w:tc>
          <w:tcPr>
            <w:tcW w:w="1275" w:type="dxa"/>
            <w:tcBorders>
              <w:top w:val="nil"/>
              <w:left w:val="nil"/>
              <w:right w:val="nil"/>
            </w:tcBorders>
            <w:vAlign w:val="center"/>
          </w:tcPr>
          <w:p w14:paraId="7978FF2F" w14:textId="77777777" w:rsidR="00D335FC" w:rsidRPr="00F16B11" w:rsidRDefault="00D335FC" w:rsidP="008762CE">
            <w:pPr>
              <w:widowControl w:val="0"/>
              <w:spacing w:after="0"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0 (0)</w:t>
            </w:r>
          </w:p>
        </w:tc>
        <w:tc>
          <w:tcPr>
            <w:tcW w:w="795" w:type="dxa"/>
            <w:tcBorders>
              <w:top w:val="nil"/>
              <w:left w:val="nil"/>
            </w:tcBorders>
            <w:vAlign w:val="center"/>
          </w:tcPr>
          <w:p w14:paraId="31E2B057" w14:textId="77777777" w:rsidR="00D335FC" w:rsidRPr="00F16B11" w:rsidRDefault="00D335FC" w:rsidP="008762CE">
            <w:pPr>
              <w:widowControl w:val="0"/>
              <w:spacing w:after="0" w:line="480" w:lineRule="auto"/>
              <w:jc w:val="center"/>
              <w:rPr>
                <w:rFonts w:ascii="Times New Roman" w:eastAsia="Times New Roman" w:hAnsi="Times New Roman" w:cs="Times New Roman"/>
                <w:sz w:val="24"/>
                <w:szCs w:val="24"/>
              </w:rPr>
            </w:pPr>
            <w:r w:rsidRPr="00F16B11">
              <w:rPr>
                <w:rFonts w:ascii="Times New Roman" w:eastAsia="Times New Roman" w:hAnsi="Times New Roman" w:cs="Times New Roman"/>
                <w:sz w:val="24"/>
                <w:szCs w:val="24"/>
              </w:rPr>
              <w:t>NA</w:t>
            </w:r>
          </w:p>
        </w:tc>
      </w:tr>
    </w:tbl>
    <w:p w14:paraId="1E077D6C" w14:textId="77777777" w:rsidR="00D335FC" w:rsidRPr="00F16B11" w:rsidRDefault="00D335FC" w:rsidP="00D335FC">
      <w:pPr>
        <w:spacing w:line="480" w:lineRule="auto"/>
        <w:jc w:val="both"/>
        <w:rPr>
          <w:rFonts w:ascii="Times New Roman" w:eastAsia="Times New Roman" w:hAnsi="Times New Roman" w:cs="Times New Roman"/>
          <w:i/>
          <w:color w:val="000000"/>
          <w:sz w:val="24"/>
          <w:szCs w:val="24"/>
        </w:rPr>
      </w:pPr>
      <w:r w:rsidRPr="00F16B11">
        <w:rPr>
          <w:rFonts w:ascii="Times New Roman" w:eastAsia="Times New Roman" w:hAnsi="Times New Roman" w:cs="Times New Roman"/>
          <w:i/>
          <w:color w:val="000000"/>
          <w:sz w:val="24"/>
          <w:szCs w:val="24"/>
        </w:rPr>
        <w:t>NA: non applicable</w:t>
      </w:r>
    </w:p>
    <w:p w14:paraId="20635767" w14:textId="77777777" w:rsidR="00D335FC" w:rsidRPr="00F16B11" w:rsidRDefault="00D335FC" w:rsidP="00D335FC">
      <w:pPr>
        <w:spacing w:line="480" w:lineRule="auto"/>
        <w:jc w:val="both"/>
        <w:rPr>
          <w:rFonts w:ascii="Times New Roman" w:eastAsia="Times New Roman" w:hAnsi="Times New Roman" w:cs="Times New Roman"/>
          <w:color w:val="000000"/>
          <w:sz w:val="24"/>
          <w:szCs w:val="24"/>
        </w:rPr>
      </w:pPr>
    </w:p>
    <w:p w14:paraId="1E1CC29E" w14:textId="77777777" w:rsidR="00D335FC" w:rsidRPr="00F16B11" w:rsidRDefault="00D335FC" w:rsidP="00D335FC">
      <w:pPr>
        <w:spacing w:line="480" w:lineRule="auto"/>
        <w:rPr>
          <w:rFonts w:ascii="Times New Roman" w:eastAsia="Times New Roman" w:hAnsi="Times New Roman" w:cs="Times New Roman"/>
          <w:color w:val="000000"/>
          <w:sz w:val="24"/>
          <w:szCs w:val="24"/>
        </w:rPr>
      </w:pPr>
    </w:p>
    <w:p w14:paraId="0A115693" w14:textId="77777777" w:rsidR="001D636F" w:rsidRPr="00F347EA" w:rsidRDefault="001D636F" w:rsidP="001D636F">
      <w:pPr>
        <w:rPr>
          <w:rFonts w:ascii="Arial" w:hAnsi="Arial" w:cs="Arial"/>
        </w:rPr>
      </w:pPr>
      <w:bookmarkStart w:id="3" w:name="_Hlk181389573"/>
      <w:bookmarkEnd w:id="3"/>
      <w:r w:rsidRPr="000E624E">
        <w:rPr>
          <w:rFonts w:ascii="Arial" w:hAnsi="Arial" w:cs="Arial"/>
        </w:rPr>
        <w:lastRenderedPageBreak/>
        <w:t>Figure 1. Flowchart of Study Participant Allocation</w:t>
      </w:r>
    </w:p>
    <w:p w14:paraId="56330EAE" w14:textId="77777777" w:rsidR="001D636F" w:rsidRDefault="001D636F" w:rsidP="001D636F">
      <w:pPr>
        <w:rPr>
          <w:rFonts w:ascii="Arial" w:hAnsi="Arial" w:cs="Arial"/>
        </w:rPr>
      </w:pPr>
    </w:p>
    <w:p w14:paraId="7FC71BC6" w14:textId="77777777" w:rsidR="001D636F" w:rsidRDefault="001D636F" w:rsidP="001D636F">
      <w:pPr>
        <w:rPr>
          <w:rFonts w:ascii="Arial" w:hAnsi="Arial" w:cs="Arial"/>
        </w:rPr>
      </w:pPr>
      <w:r>
        <w:rPr>
          <w:rFonts w:ascii="Arial" w:hAnsi="Arial" w:cs="Arial"/>
          <w:noProof/>
        </w:rPr>
        <w:drawing>
          <wp:inline distT="0" distB="0" distL="0" distR="0" wp14:anchorId="096BC0B2" wp14:editId="5E0933DD">
            <wp:extent cx="6137025" cy="2876550"/>
            <wp:effectExtent l="0" t="0" r="0" b="0"/>
            <wp:docPr id="1" name="Imagem 1"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Diagrama&#10;&#10;Descrição gerada automa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43859" cy="2879753"/>
                    </a:xfrm>
                    <a:prstGeom prst="rect">
                      <a:avLst/>
                    </a:prstGeom>
                  </pic:spPr>
                </pic:pic>
              </a:graphicData>
            </a:graphic>
          </wp:inline>
        </w:drawing>
      </w:r>
    </w:p>
    <w:p w14:paraId="148170B8" w14:textId="77777777" w:rsidR="001D636F" w:rsidRDefault="001D636F" w:rsidP="001D636F">
      <w:pPr>
        <w:rPr>
          <w:rFonts w:ascii="Arial" w:hAnsi="Arial" w:cs="Arial"/>
        </w:rPr>
      </w:pPr>
      <w:r w:rsidRPr="001439AF">
        <w:rPr>
          <w:rFonts w:ascii="Arial" w:hAnsi="Arial" w:cs="Arial"/>
          <w:noProof/>
        </w:rPr>
        <mc:AlternateContent>
          <mc:Choice Requires="wps">
            <w:drawing>
              <wp:anchor distT="0" distB="0" distL="114300" distR="114300" simplePos="0" relativeHeight="251659264" behindDoc="0" locked="0" layoutInCell="1" allowOverlap="1" wp14:anchorId="03477343" wp14:editId="671D882F">
                <wp:simplePos x="0" y="0"/>
                <wp:positionH relativeFrom="column">
                  <wp:posOffset>171450</wp:posOffset>
                </wp:positionH>
                <wp:positionV relativeFrom="paragraph">
                  <wp:posOffset>27940</wp:posOffset>
                </wp:positionV>
                <wp:extent cx="2476960" cy="276999"/>
                <wp:effectExtent l="0" t="0" r="0" b="0"/>
                <wp:wrapNone/>
                <wp:docPr id="42" name="CaixaDeTexto 41">
                  <a:extLst xmlns:a="http://schemas.openxmlformats.org/drawingml/2006/main">
                    <a:ext uri="{FF2B5EF4-FFF2-40B4-BE49-F238E27FC236}">
                      <a16:creationId xmlns:a16="http://schemas.microsoft.com/office/drawing/2014/main" id="{C97CE7A3-A0FE-2BFB-053E-F20F60D816D9}"/>
                    </a:ext>
                  </a:extLst>
                </wp:docPr>
                <wp:cNvGraphicFramePr/>
                <a:graphic xmlns:a="http://schemas.openxmlformats.org/drawingml/2006/main">
                  <a:graphicData uri="http://schemas.microsoft.com/office/word/2010/wordprocessingShape">
                    <wps:wsp>
                      <wps:cNvSpPr txBox="1"/>
                      <wps:spPr>
                        <a:xfrm>
                          <a:off x="0" y="0"/>
                          <a:ext cx="2476960" cy="276999"/>
                        </a:xfrm>
                        <a:prstGeom prst="rect">
                          <a:avLst/>
                        </a:prstGeom>
                        <a:noFill/>
                      </wps:spPr>
                      <wps:txbx>
                        <w:txbxContent>
                          <w:p w14:paraId="122FE120" w14:textId="77777777" w:rsidR="001D636F" w:rsidRPr="000E624E" w:rsidRDefault="001D636F" w:rsidP="001D636F">
                            <w:pPr>
                              <w:rPr>
                                <w:rFonts w:ascii="Arial" w:hAnsi="Arial" w:cs="Arial"/>
                                <w:i/>
                                <w:iCs/>
                                <w:color w:val="000000" w:themeColor="text1"/>
                                <w:kern w:val="24"/>
                              </w:rPr>
                            </w:pPr>
                            <w:r w:rsidRPr="000E624E">
                              <w:rPr>
                                <w:rFonts w:ascii="Arial" w:hAnsi="Arial" w:cs="Arial"/>
                                <w:i/>
                                <w:iCs/>
                                <w:color w:val="000000" w:themeColor="text1"/>
                                <w:kern w:val="24"/>
                              </w:rPr>
                              <w:t>HD: high-dose; RD: routine-dose</w:t>
                            </w:r>
                          </w:p>
                        </w:txbxContent>
                      </wps:txbx>
                      <wps:bodyPr wrap="none" rtlCol="0">
                        <a:spAutoFit/>
                      </wps:bodyPr>
                    </wps:wsp>
                  </a:graphicData>
                </a:graphic>
              </wp:anchor>
            </w:drawing>
          </mc:Choice>
          <mc:Fallback>
            <w:pict>
              <v:shapetype w14:anchorId="03477343" id="_x0000_t202" coordsize="21600,21600" o:spt="202" path="m,l,21600r21600,l21600,xe">
                <v:stroke joinstyle="miter"/>
                <v:path gradientshapeok="t" o:connecttype="rect"/>
              </v:shapetype>
              <v:shape id="CaixaDeTexto 41" o:spid="_x0000_s1026" type="#_x0000_t202" style="position:absolute;margin-left:13.5pt;margin-top:2.2pt;width:195.05pt;height:21.8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" filled="f" stroked="f">
                <v:textbox style="mso-fit-shape-to-text:t">
                  <w:txbxContent>
                    <w:p w14:paraId="122FE120" w14:textId="77777777" w:rsidR="001D636F" w:rsidRPr="000E624E" w:rsidRDefault="001D636F" w:rsidP="001D636F">
                      <w:pPr>
                        <w:rPr>
                          <w:rFonts w:ascii="Arial" w:hAnsi="Arial" w:cs="Arial"/>
                          <w:i/>
                          <w:iCs/>
                          <w:color w:val="000000" w:themeColor="text1"/>
                          <w:kern w:val="24"/>
                        </w:rPr>
                      </w:pPr>
                      <w:r w:rsidRPr="000E624E">
                        <w:rPr>
                          <w:rFonts w:ascii="Arial" w:hAnsi="Arial" w:cs="Arial"/>
                          <w:i/>
                          <w:iCs/>
                          <w:color w:val="000000" w:themeColor="text1"/>
                          <w:kern w:val="24"/>
                        </w:rPr>
                        <w:t>HD: high-dose; RD: routine-dose</w:t>
                      </w:r>
                    </w:p>
                  </w:txbxContent>
                </v:textbox>
              </v:shape>
            </w:pict>
          </mc:Fallback>
        </mc:AlternateContent>
      </w:r>
    </w:p>
    <w:p w14:paraId="44CE0B00" w14:textId="77777777" w:rsidR="001D636F" w:rsidRDefault="001D636F" w:rsidP="001D636F">
      <w:pPr>
        <w:rPr>
          <w:rFonts w:ascii="Arial" w:hAnsi="Arial" w:cs="Arial"/>
        </w:rPr>
      </w:pPr>
    </w:p>
    <w:p w14:paraId="2F88D5C5" w14:textId="77777777" w:rsidR="001D636F" w:rsidRDefault="001D636F" w:rsidP="001D636F">
      <w:pPr>
        <w:rPr>
          <w:rFonts w:ascii="Arial" w:hAnsi="Arial" w:cs="Arial"/>
        </w:rPr>
      </w:pPr>
    </w:p>
    <w:p w14:paraId="2F7DA715" w14:textId="77777777" w:rsidR="001D636F" w:rsidRDefault="001D636F" w:rsidP="001D636F">
      <w:pPr>
        <w:rPr>
          <w:rFonts w:ascii="Arial" w:hAnsi="Arial" w:cs="Arial"/>
        </w:rPr>
      </w:pPr>
    </w:p>
    <w:p w14:paraId="027F932B" w14:textId="77777777" w:rsidR="001D636F" w:rsidRDefault="001D636F" w:rsidP="001D636F">
      <w:pPr>
        <w:rPr>
          <w:rFonts w:ascii="Arial" w:hAnsi="Arial" w:cs="Arial"/>
        </w:rPr>
      </w:pPr>
    </w:p>
    <w:p w14:paraId="733D977C" w14:textId="77777777" w:rsidR="001D636F" w:rsidRDefault="001D636F" w:rsidP="001D636F">
      <w:pPr>
        <w:rPr>
          <w:rFonts w:ascii="Arial" w:hAnsi="Arial" w:cs="Arial"/>
        </w:rPr>
      </w:pPr>
    </w:p>
    <w:p w14:paraId="1CE9591A" w14:textId="77777777" w:rsidR="001D636F" w:rsidRDefault="001D636F" w:rsidP="001D636F">
      <w:pPr>
        <w:rPr>
          <w:rFonts w:ascii="Arial" w:hAnsi="Arial" w:cs="Arial"/>
        </w:rPr>
      </w:pPr>
    </w:p>
    <w:p w14:paraId="3F0BF7F6" w14:textId="77777777" w:rsidR="001D636F" w:rsidRDefault="001D636F" w:rsidP="001D636F">
      <w:pPr>
        <w:rPr>
          <w:rFonts w:ascii="Arial" w:hAnsi="Arial" w:cs="Arial"/>
        </w:rPr>
      </w:pPr>
    </w:p>
    <w:p w14:paraId="49347714" w14:textId="77777777" w:rsidR="001D636F" w:rsidRDefault="001D636F" w:rsidP="001D636F">
      <w:pPr>
        <w:rPr>
          <w:rFonts w:ascii="Arial" w:hAnsi="Arial" w:cs="Arial"/>
        </w:rPr>
      </w:pPr>
    </w:p>
    <w:p w14:paraId="7CC90484" w14:textId="77777777" w:rsidR="001D636F" w:rsidRDefault="001D636F" w:rsidP="001D636F">
      <w:pPr>
        <w:rPr>
          <w:rFonts w:ascii="Arial" w:hAnsi="Arial" w:cs="Arial"/>
        </w:rPr>
      </w:pPr>
    </w:p>
    <w:p w14:paraId="46BF3C61" w14:textId="77777777" w:rsidR="001D636F" w:rsidRDefault="001D636F" w:rsidP="001D636F">
      <w:pPr>
        <w:rPr>
          <w:rFonts w:ascii="Arial" w:hAnsi="Arial" w:cs="Arial"/>
        </w:rPr>
      </w:pPr>
    </w:p>
    <w:p w14:paraId="317C3BF7" w14:textId="77777777" w:rsidR="001D636F" w:rsidRDefault="001D636F" w:rsidP="001D636F">
      <w:pPr>
        <w:rPr>
          <w:rFonts w:ascii="Arial" w:hAnsi="Arial" w:cs="Arial"/>
        </w:rPr>
      </w:pPr>
    </w:p>
    <w:p w14:paraId="06154DB3" w14:textId="77777777" w:rsidR="001D636F" w:rsidRDefault="001D636F" w:rsidP="001D636F">
      <w:pPr>
        <w:rPr>
          <w:rFonts w:ascii="Arial" w:hAnsi="Arial" w:cs="Arial"/>
        </w:rPr>
      </w:pPr>
    </w:p>
    <w:p w14:paraId="7A526CC5" w14:textId="77777777" w:rsidR="001D636F" w:rsidRDefault="001D636F" w:rsidP="001D636F">
      <w:pPr>
        <w:rPr>
          <w:rFonts w:ascii="Arial" w:hAnsi="Arial" w:cs="Arial"/>
        </w:rPr>
      </w:pPr>
    </w:p>
    <w:p w14:paraId="586E04FE" w14:textId="77777777" w:rsidR="00BF2FDB" w:rsidRDefault="00BF2FDB" w:rsidP="001D636F">
      <w:pPr>
        <w:rPr>
          <w:rFonts w:ascii="Arial" w:hAnsi="Arial" w:cs="Arial"/>
        </w:rPr>
      </w:pPr>
    </w:p>
    <w:p w14:paraId="323C06B2" w14:textId="77777777" w:rsidR="00BF2FDB" w:rsidRDefault="00BF2FDB" w:rsidP="001D636F">
      <w:pPr>
        <w:rPr>
          <w:rFonts w:ascii="Arial" w:hAnsi="Arial" w:cs="Arial"/>
        </w:rPr>
      </w:pPr>
    </w:p>
    <w:p w14:paraId="0F174B42" w14:textId="77777777" w:rsidR="00BF2FDB" w:rsidRDefault="00BF2FDB" w:rsidP="001D636F">
      <w:pPr>
        <w:rPr>
          <w:rFonts w:ascii="Arial" w:hAnsi="Arial" w:cs="Arial"/>
        </w:rPr>
      </w:pPr>
    </w:p>
    <w:p w14:paraId="4723A9DE" w14:textId="77777777" w:rsidR="001D636F" w:rsidRDefault="001D636F" w:rsidP="001D636F">
      <w:pPr>
        <w:rPr>
          <w:rFonts w:ascii="Arial" w:hAnsi="Arial" w:cs="Arial"/>
        </w:rPr>
      </w:pPr>
    </w:p>
    <w:p w14:paraId="3E387D7E" w14:textId="77777777" w:rsidR="001D636F" w:rsidRDefault="001D636F" w:rsidP="001D636F">
      <w:pPr>
        <w:rPr>
          <w:rFonts w:ascii="Arial" w:hAnsi="Arial" w:cs="Arial"/>
        </w:rPr>
      </w:pPr>
    </w:p>
    <w:p w14:paraId="18332E6E" w14:textId="77777777" w:rsidR="001D636F" w:rsidRPr="003D18EB" w:rsidRDefault="001D636F" w:rsidP="001D636F">
      <w:pPr>
        <w:rPr>
          <w:rFonts w:ascii="Arial" w:hAnsi="Arial" w:cs="Arial"/>
        </w:rPr>
      </w:pPr>
      <w:r w:rsidRPr="003D18EB">
        <w:rPr>
          <w:rFonts w:ascii="Arial" w:hAnsi="Arial" w:cs="Arial"/>
        </w:rPr>
        <w:lastRenderedPageBreak/>
        <w:t>Figure 2.</w:t>
      </w:r>
      <w:r w:rsidRPr="003D18EB">
        <w:rPr>
          <w:rFonts w:ascii="Arial" w:hAnsi="Arial" w:cs="Arial"/>
          <w:b/>
          <w:bCs/>
        </w:rPr>
        <w:t xml:space="preserve"> </w:t>
      </w:r>
      <w:r w:rsidRPr="003D18EB">
        <w:rPr>
          <w:rFonts w:ascii="Arial" w:hAnsi="Arial" w:cs="Arial"/>
        </w:rPr>
        <w:t>ROC curve analysis of Δ25OHD for predicting C3 normalization in the entire cohort</w:t>
      </w:r>
      <w:r w:rsidRPr="003D18EB">
        <w:rPr>
          <w:rFonts w:ascii="Arial" w:hAnsi="Arial" w:cs="Arial"/>
          <w:b/>
          <w:bCs/>
        </w:rPr>
        <w:t> </w:t>
      </w:r>
    </w:p>
    <w:p w14:paraId="7E88FBC3" w14:textId="77777777" w:rsidR="001D636F" w:rsidRPr="00E117F1" w:rsidRDefault="001D636F" w:rsidP="001D636F">
      <w:r w:rsidRPr="00E117F1">
        <w:rPr>
          <w:noProof/>
        </w:rPr>
        <w:drawing>
          <wp:inline distT="0" distB="0" distL="0" distR="0" wp14:anchorId="72FE71C7" wp14:editId="265FD60E">
            <wp:extent cx="8255677" cy="4733925"/>
            <wp:effectExtent l="0" t="0" r="0" b="0"/>
            <wp:docPr id="1725504029" name="Imagem 4" descr="Gráfico, Gráfico de caixa estreit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504029" name="Imagem 4" descr="Gráfico, Gráfico de caixa estreita&#10;&#10;Descrição gerada automaticament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65916" cy="4739796"/>
                    </a:xfrm>
                    <a:prstGeom prst="rect">
                      <a:avLst/>
                    </a:prstGeom>
                    <a:noFill/>
                    <a:ln>
                      <a:noFill/>
                    </a:ln>
                  </pic:spPr>
                </pic:pic>
              </a:graphicData>
            </a:graphic>
          </wp:inline>
        </w:drawing>
      </w:r>
    </w:p>
    <w:p w14:paraId="682F64D1" w14:textId="77777777" w:rsidR="001D636F" w:rsidRPr="00E117F1" w:rsidRDefault="001D636F" w:rsidP="001D636F">
      <w:pPr>
        <w:jc w:val="center"/>
      </w:pPr>
    </w:p>
    <w:p w14:paraId="7D3BA53A" w14:textId="77777777" w:rsidR="001D636F" w:rsidRPr="00E117F1" w:rsidRDefault="001D636F" w:rsidP="001D636F"/>
    <w:p w14:paraId="743E9336" w14:textId="77777777" w:rsidR="001D636F" w:rsidRPr="00E117F1" w:rsidRDefault="001D636F" w:rsidP="001D636F"/>
    <w:p w14:paraId="1FA26340" w14:textId="77777777" w:rsidR="001D636F" w:rsidRDefault="001D636F" w:rsidP="001D636F">
      <w:pPr>
        <w:rPr>
          <w:rFonts w:ascii="Arial" w:hAnsi="Arial" w:cs="Arial"/>
        </w:rPr>
      </w:pPr>
      <w:r w:rsidRPr="00E117F1">
        <w:br/>
      </w:r>
    </w:p>
    <w:p w14:paraId="33C63FA1" w14:textId="77777777" w:rsidR="001D636F" w:rsidRDefault="001D636F" w:rsidP="001D636F">
      <w:pPr>
        <w:rPr>
          <w:rFonts w:ascii="Arial" w:hAnsi="Arial" w:cs="Arial"/>
        </w:rPr>
      </w:pPr>
    </w:p>
    <w:p w14:paraId="5783D1DD" w14:textId="77777777" w:rsidR="001D636F" w:rsidRDefault="001D636F" w:rsidP="001D636F">
      <w:pPr>
        <w:rPr>
          <w:rFonts w:ascii="Arial" w:hAnsi="Arial" w:cs="Arial"/>
        </w:rPr>
      </w:pPr>
    </w:p>
    <w:p w14:paraId="7716E4F9" w14:textId="77777777" w:rsidR="001D636F" w:rsidRDefault="001D636F" w:rsidP="001D636F">
      <w:pPr>
        <w:rPr>
          <w:rFonts w:ascii="Arial" w:hAnsi="Arial" w:cs="Arial"/>
        </w:rPr>
      </w:pPr>
    </w:p>
    <w:p w14:paraId="445B0E8E" w14:textId="77777777" w:rsidR="001D636F" w:rsidRDefault="001D636F" w:rsidP="001D636F">
      <w:pPr>
        <w:rPr>
          <w:rFonts w:ascii="Arial" w:hAnsi="Arial" w:cs="Arial"/>
        </w:rPr>
      </w:pPr>
    </w:p>
    <w:p w14:paraId="744A3F37" w14:textId="77777777" w:rsidR="001D636F" w:rsidRDefault="001D636F" w:rsidP="001D636F">
      <w:pPr>
        <w:rPr>
          <w:rFonts w:ascii="Arial" w:hAnsi="Arial" w:cs="Arial"/>
        </w:rPr>
      </w:pPr>
    </w:p>
    <w:p w14:paraId="4E5A46D2" w14:textId="77777777" w:rsidR="00BF2FDB" w:rsidRDefault="00BF2FDB" w:rsidP="001D636F">
      <w:pPr>
        <w:rPr>
          <w:rFonts w:ascii="Arial" w:hAnsi="Arial" w:cs="Arial"/>
        </w:rPr>
      </w:pPr>
    </w:p>
    <w:p w14:paraId="5F6814D1" w14:textId="77777777" w:rsidR="001D636F" w:rsidRDefault="001D636F" w:rsidP="001D636F">
      <w:pPr>
        <w:rPr>
          <w:rFonts w:ascii="Arial" w:hAnsi="Arial" w:cs="Arial"/>
        </w:rPr>
      </w:pPr>
    </w:p>
    <w:p w14:paraId="36F38F3C" w14:textId="77777777" w:rsidR="001D636F" w:rsidRDefault="001D636F" w:rsidP="001D636F">
      <w:pPr>
        <w:rPr>
          <w:rFonts w:ascii="Arial" w:hAnsi="Arial" w:cs="Arial"/>
        </w:rPr>
      </w:pPr>
    </w:p>
    <w:p w14:paraId="38CACD8F" w14:textId="77777777" w:rsidR="001D636F" w:rsidRPr="00D17E22" w:rsidRDefault="001D636F" w:rsidP="001D636F">
      <w:pPr>
        <w:rPr>
          <w:rFonts w:ascii="Arial" w:hAnsi="Arial" w:cs="Arial"/>
        </w:rPr>
      </w:pPr>
      <w:r w:rsidRPr="00D17E22">
        <w:rPr>
          <w:rFonts w:ascii="Arial" w:hAnsi="Arial" w:cs="Arial"/>
        </w:rPr>
        <w:lastRenderedPageBreak/>
        <w:t>Figure 3. ROC curve analysis of Δ25OHD for predicting C4 normalization in the entire cohort</w:t>
      </w:r>
      <w:r w:rsidRPr="00D17E22">
        <w:rPr>
          <w:rFonts w:ascii="Arial" w:hAnsi="Arial" w:cs="Arial"/>
          <w:b/>
          <w:bCs/>
        </w:rPr>
        <w:t> </w:t>
      </w:r>
    </w:p>
    <w:p w14:paraId="573CBBD8" w14:textId="77777777" w:rsidR="001D636F" w:rsidRPr="00EE667B" w:rsidRDefault="001D636F" w:rsidP="001D636F">
      <w:r w:rsidRPr="00EE667B">
        <w:rPr>
          <w:noProof/>
        </w:rPr>
        <w:drawing>
          <wp:inline distT="0" distB="0" distL="0" distR="0" wp14:anchorId="45A3AD2E" wp14:editId="33378C3D">
            <wp:extent cx="8342082" cy="4629150"/>
            <wp:effectExtent l="0" t="0" r="1905" b="0"/>
            <wp:docPr id="1861024097" name="Imagem 2" descr="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024097" name="Imagem 2" descr="Gráfico&#10;&#10;Descrição gerada automaticament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360075" cy="4639135"/>
                    </a:xfrm>
                    <a:prstGeom prst="rect">
                      <a:avLst/>
                    </a:prstGeom>
                    <a:noFill/>
                    <a:ln>
                      <a:noFill/>
                    </a:ln>
                  </pic:spPr>
                </pic:pic>
              </a:graphicData>
            </a:graphic>
          </wp:inline>
        </w:drawing>
      </w:r>
    </w:p>
    <w:p w14:paraId="4FFF1F97" w14:textId="77777777" w:rsidR="001D636F" w:rsidRDefault="001D636F" w:rsidP="001D636F"/>
    <w:p w14:paraId="208B11A0" w14:textId="77777777" w:rsidR="001D636F" w:rsidRPr="00F16B11" w:rsidRDefault="001D636F" w:rsidP="00F16B11">
      <w:pPr>
        <w:spacing w:line="480" w:lineRule="auto"/>
        <w:rPr>
          <w:rFonts w:ascii="Times New Roman" w:eastAsia="Times New Roman" w:hAnsi="Times New Roman" w:cs="Times New Roman"/>
          <w:color w:val="000000"/>
          <w:sz w:val="24"/>
          <w:szCs w:val="24"/>
        </w:rPr>
      </w:pPr>
    </w:p>
    <w:sectPr w:rsidR="001D636F" w:rsidRPr="00F16B11">
      <w:footerReference w:type="default" r:id="rId13"/>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764D44" w14:textId="77777777" w:rsidR="000F59E7" w:rsidRDefault="000F59E7">
      <w:pPr>
        <w:spacing w:after="0" w:line="240" w:lineRule="auto"/>
      </w:pPr>
      <w:r>
        <w:separator/>
      </w:r>
    </w:p>
  </w:endnote>
  <w:endnote w:type="continuationSeparator" w:id="0">
    <w:p w14:paraId="0C3CA543" w14:textId="77777777" w:rsidR="000F59E7" w:rsidRDefault="000F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7AE872A3-4CB3-4764-A641-EFAA6993AADA}"/>
    <w:embedBold r:id="rId2" w:fontKey="{B942A66D-5813-4A71-A5D8-1399B9B290CB}"/>
    <w:embedItalic r:id="rId3" w:fontKey="{0ADCA7CC-3544-4108-804E-01CD7B0F5D50}"/>
  </w:font>
  <w:font w:name="Georgia">
    <w:panose1 w:val="02040502050405020303"/>
    <w:charset w:val="00"/>
    <w:family w:val="roman"/>
    <w:pitch w:val="variable"/>
    <w:sig w:usb0="00000287" w:usb1="00000000" w:usb2="00000000" w:usb3="00000000" w:csb0="0000009F" w:csb1="00000000"/>
    <w:embedRegular r:id="rId4" w:fontKey="{114C7BAD-8EF1-4DB4-B0B7-930E5760DF5D}"/>
    <w:embedItalic r:id="rId5" w:fontKey="{11857FD1-2C95-4CB9-940A-A98B80441B06}"/>
  </w:font>
  <w:font w:name="Tahoma">
    <w:panose1 w:val="020B0604030504040204"/>
    <w:charset w:val="00"/>
    <w:family w:val="swiss"/>
    <w:pitch w:val="variable"/>
    <w:sig w:usb0="E1002EFF" w:usb1="C000605B" w:usb2="00000029" w:usb3="00000000" w:csb0="000101FF" w:csb1="00000000"/>
    <w:embedRegular r:id="rId6" w:fontKey="{7725C744-8242-4488-97C3-415F1F4BFDB8}"/>
  </w:font>
  <w:font w:name="Segoe UI">
    <w:panose1 w:val="020B0502040204020203"/>
    <w:charset w:val="00"/>
    <w:family w:val="swiss"/>
    <w:pitch w:val="variable"/>
    <w:sig w:usb0="E4002EFF" w:usb1="C000E47F" w:usb2="00000009" w:usb3="00000000" w:csb0="000001FF" w:csb1="00000000"/>
    <w:embedRegular r:id="rId7" w:fontKey="{377BF114-3BA5-4577-9475-2E2794CF82F0}"/>
  </w:font>
  <w:font w:name="Arial">
    <w:panose1 w:val="020B0604020202020204"/>
    <w:charset w:val="00"/>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embedRegular r:id="rId8" w:fontKey="{AE26FFAC-7C71-4250-BD71-E2DAF4DB468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891E5E" w14:textId="77777777" w:rsidR="00B83901" w:rsidRDefault="008D3E27">
    <w:pPr>
      <w:pBdr>
        <w:top w:val="nil"/>
        <w:left w:val="nil"/>
        <w:bottom w:val="nil"/>
        <w:right w:val="nil"/>
        <w:between w:val="nil"/>
      </w:pBdr>
      <w:tabs>
        <w:tab w:val="center" w:pos="4252"/>
        <w:tab w:val="right" w:pos="8504"/>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763F97">
      <w:rPr>
        <w:noProof/>
        <w:color w:val="000000"/>
      </w:rPr>
      <w:t>1</w:t>
    </w:r>
    <w:r>
      <w:rPr>
        <w:color w:val="000000"/>
      </w:rPr>
      <w:fldChar w:fldCharType="end"/>
    </w:r>
  </w:p>
  <w:p w14:paraId="115EF037" w14:textId="77777777" w:rsidR="00B83901" w:rsidRDefault="00B83901">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3A3082" w14:textId="77777777" w:rsidR="000F59E7" w:rsidRDefault="000F59E7">
      <w:pPr>
        <w:spacing w:after="0" w:line="240" w:lineRule="auto"/>
      </w:pPr>
      <w:r>
        <w:separator/>
      </w:r>
    </w:p>
  </w:footnote>
  <w:footnote w:type="continuationSeparator" w:id="0">
    <w:p w14:paraId="60B178AD" w14:textId="77777777" w:rsidR="000F59E7" w:rsidRDefault="000F59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2231F7"/>
    <w:multiLevelType w:val="multilevel"/>
    <w:tmpl w:val="F66063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8CB5B21"/>
    <w:multiLevelType w:val="hybridMultilevel"/>
    <w:tmpl w:val="9898A8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7B9162F"/>
    <w:multiLevelType w:val="multilevel"/>
    <w:tmpl w:val="915E403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7C506550"/>
    <w:multiLevelType w:val="multilevel"/>
    <w:tmpl w:val="D07E2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3562067">
    <w:abstractNumId w:val="0"/>
  </w:num>
  <w:num w:numId="2" w16cid:durableId="1663198011">
    <w:abstractNumId w:val="1"/>
  </w:num>
  <w:num w:numId="3" w16cid:durableId="82918846">
    <w:abstractNumId w:val="3"/>
  </w:num>
  <w:num w:numId="4" w16cid:durableId="17605907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901"/>
    <w:rsid w:val="0002335E"/>
    <w:rsid w:val="000507A1"/>
    <w:rsid w:val="00085248"/>
    <w:rsid w:val="000F5434"/>
    <w:rsid w:val="000F59E7"/>
    <w:rsid w:val="00125DCB"/>
    <w:rsid w:val="00127812"/>
    <w:rsid w:val="001310AC"/>
    <w:rsid w:val="001B60D7"/>
    <w:rsid w:val="001D2599"/>
    <w:rsid w:val="001D636F"/>
    <w:rsid w:val="002D2DC5"/>
    <w:rsid w:val="003209C6"/>
    <w:rsid w:val="00390DED"/>
    <w:rsid w:val="003B70EE"/>
    <w:rsid w:val="003C6A3C"/>
    <w:rsid w:val="00476D37"/>
    <w:rsid w:val="00493834"/>
    <w:rsid w:val="00495BF4"/>
    <w:rsid w:val="005961DC"/>
    <w:rsid w:val="005C2F07"/>
    <w:rsid w:val="00642146"/>
    <w:rsid w:val="00676479"/>
    <w:rsid w:val="00681767"/>
    <w:rsid w:val="006C65CA"/>
    <w:rsid w:val="006D4ED2"/>
    <w:rsid w:val="006F2C0F"/>
    <w:rsid w:val="00763F97"/>
    <w:rsid w:val="00832BD1"/>
    <w:rsid w:val="008B20CB"/>
    <w:rsid w:val="008D3E27"/>
    <w:rsid w:val="00921D6E"/>
    <w:rsid w:val="009227DD"/>
    <w:rsid w:val="0099691F"/>
    <w:rsid w:val="00A16DA5"/>
    <w:rsid w:val="00A239AA"/>
    <w:rsid w:val="00A31EB2"/>
    <w:rsid w:val="00AD4CA1"/>
    <w:rsid w:val="00AD6425"/>
    <w:rsid w:val="00AE1264"/>
    <w:rsid w:val="00AF4123"/>
    <w:rsid w:val="00B724AF"/>
    <w:rsid w:val="00B83901"/>
    <w:rsid w:val="00B86599"/>
    <w:rsid w:val="00BB4220"/>
    <w:rsid w:val="00BF2FDB"/>
    <w:rsid w:val="00C83FF7"/>
    <w:rsid w:val="00CA36A3"/>
    <w:rsid w:val="00CA55CC"/>
    <w:rsid w:val="00CA69ED"/>
    <w:rsid w:val="00CC1092"/>
    <w:rsid w:val="00D054EA"/>
    <w:rsid w:val="00D335FC"/>
    <w:rsid w:val="00D65D04"/>
    <w:rsid w:val="00D66A32"/>
    <w:rsid w:val="00DB4560"/>
    <w:rsid w:val="00E24332"/>
    <w:rsid w:val="00E869C0"/>
    <w:rsid w:val="00EC4233"/>
    <w:rsid w:val="00EC6CBB"/>
    <w:rsid w:val="00F04EE1"/>
    <w:rsid w:val="00F16B11"/>
    <w:rsid w:val="00F42FB4"/>
    <w:rsid w:val="00F43949"/>
    <w:rsid w:val="00F71EDE"/>
    <w:rsid w:val="00F751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E9FEE"/>
  <w15:docId w15:val="{9B7F0850-D5F4-401B-B92B-AECBB0B65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C44"/>
  </w:style>
  <w:style w:type="paragraph" w:styleId="Ttulo1">
    <w:name w:val="heading 1"/>
    <w:basedOn w:val="Normal"/>
    <w:link w:val="Ttulo1Char"/>
    <w:uiPriority w:val="9"/>
    <w:qFormat/>
    <w:rsid w:val="008B2286"/>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x-none"/>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character" w:customStyle="1" w:styleId="Ttulo1Char">
    <w:name w:val="Título 1 Char"/>
    <w:basedOn w:val="Fontepargpadro"/>
    <w:link w:val="Ttulo1"/>
    <w:uiPriority w:val="9"/>
    <w:rsid w:val="008B2286"/>
    <w:rPr>
      <w:rFonts w:ascii="Times New Roman" w:eastAsia="Times New Roman" w:hAnsi="Times New Roman" w:cs="Times New Roman"/>
      <w:b/>
      <w:bCs/>
      <w:kern w:val="36"/>
      <w:sz w:val="48"/>
      <w:szCs w:val="48"/>
      <w:lang w:val="x-none" w:eastAsia="x-none"/>
    </w:rPr>
  </w:style>
  <w:style w:type="character" w:customStyle="1" w:styleId="apple-style-span">
    <w:name w:val="apple-style-span"/>
    <w:basedOn w:val="Fontepargpadro"/>
    <w:rsid w:val="008B2286"/>
  </w:style>
  <w:style w:type="character" w:customStyle="1" w:styleId="pagetext">
    <w:name w:val="page_text"/>
    <w:basedOn w:val="Fontepargpadro"/>
    <w:rsid w:val="008B2286"/>
  </w:style>
  <w:style w:type="character" w:customStyle="1" w:styleId="citation">
    <w:name w:val="citation"/>
    <w:rsid w:val="008B2286"/>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extodebalo">
    <w:name w:val="Balloon Text"/>
    <w:basedOn w:val="Normal"/>
    <w:link w:val="TextodebaloChar"/>
    <w:uiPriority w:val="99"/>
    <w:semiHidden/>
    <w:unhideWhenUsed/>
    <w:rsid w:val="00352FE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52FE8"/>
    <w:rPr>
      <w:rFonts w:ascii="Tahoma" w:hAnsi="Tahoma" w:cs="Tahoma"/>
      <w:sz w:val="16"/>
      <w:szCs w:val="16"/>
    </w:rPr>
  </w:style>
  <w:style w:type="paragraph" w:styleId="Cabealho">
    <w:name w:val="header"/>
    <w:basedOn w:val="Normal"/>
    <w:link w:val="CabealhoChar"/>
    <w:uiPriority w:val="99"/>
    <w:unhideWhenUsed/>
    <w:rsid w:val="005F536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F536D"/>
  </w:style>
  <w:style w:type="paragraph" w:styleId="Rodap">
    <w:name w:val="footer"/>
    <w:basedOn w:val="Normal"/>
    <w:link w:val="RodapChar"/>
    <w:uiPriority w:val="99"/>
    <w:unhideWhenUsed/>
    <w:rsid w:val="005F536D"/>
    <w:pPr>
      <w:tabs>
        <w:tab w:val="center" w:pos="4252"/>
        <w:tab w:val="right" w:pos="8504"/>
      </w:tabs>
      <w:spacing w:after="0" w:line="240" w:lineRule="auto"/>
    </w:pPr>
  </w:style>
  <w:style w:type="character" w:customStyle="1" w:styleId="RodapChar">
    <w:name w:val="Rodapé Char"/>
    <w:basedOn w:val="Fontepargpadro"/>
    <w:link w:val="Rodap"/>
    <w:uiPriority w:val="99"/>
    <w:rsid w:val="005F536D"/>
  </w:style>
  <w:style w:type="table" w:customStyle="1" w:styleId="10">
    <w:name w:val="10"/>
    <w:basedOn w:val="TableNormal10"/>
    <w:tblPr>
      <w:tblStyleRowBandSize w:val="1"/>
      <w:tblStyleColBandSize w:val="1"/>
      <w:tblCellMar>
        <w:top w:w="100" w:type="dxa"/>
        <w:left w:w="100" w:type="dxa"/>
        <w:bottom w:w="100" w:type="dxa"/>
        <w:right w:w="100" w:type="dxa"/>
      </w:tblCellMar>
    </w:tblPr>
  </w:style>
  <w:style w:type="table" w:customStyle="1" w:styleId="9">
    <w:name w:val="9"/>
    <w:basedOn w:val="TableNormal10"/>
    <w:tblPr>
      <w:tblStyleRowBandSize w:val="1"/>
      <w:tblStyleColBandSize w:val="1"/>
      <w:tblCellMar>
        <w:top w:w="100" w:type="dxa"/>
        <w:left w:w="100" w:type="dxa"/>
        <w:bottom w:w="100" w:type="dxa"/>
        <w:right w:w="100" w:type="dxa"/>
      </w:tblCellMar>
    </w:tblPr>
  </w:style>
  <w:style w:type="table" w:customStyle="1" w:styleId="8">
    <w:name w:val="8"/>
    <w:basedOn w:val="TableNormal10"/>
    <w:tblPr>
      <w:tblStyleRowBandSize w:val="1"/>
      <w:tblStyleColBandSize w:val="1"/>
      <w:tblCellMar>
        <w:top w:w="100" w:type="dxa"/>
        <w:left w:w="100" w:type="dxa"/>
        <w:bottom w:w="100" w:type="dxa"/>
        <w:right w:w="100" w:type="dxa"/>
      </w:tblCellMar>
    </w:tblPr>
  </w:style>
  <w:style w:type="table" w:customStyle="1" w:styleId="7">
    <w:name w:val="7"/>
    <w:basedOn w:val="TableNormal10"/>
    <w:tblPr>
      <w:tblStyleRowBandSize w:val="1"/>
      <w:tblStyleColBandSize w:val="1"/>
      <w:tblCellMar>
        <w:top w:w="100" w:type="dxa"/>
        <w:left w:w="100" w:type="dxa"/>
        <w:bottom w:w="100" w:type="dxa"/>
        <w:right w:w="100" w:type="dxa"/>
      </w:tblCellMar>
    </w:tblPr>
  </w:style>
  <w:style w:type="table" w:customStyle="1" w:styleId="6">
    <w:name w:val="6"/>
    <w:basedOn w:val="TableNormal10"/>
    <w:tblPr>
      <w:tblStyleRowBandSize w:val="1"/>
      <w:tblStyleColBandSize w:val="1"/>
      <w:tblCellMar>
        <w:top w:w="100" w:type="dxa"/>
        <w:left w:w="100" w:type="dxa"/>
        <w:bottom w:w="100" w:type="dxa"/>
        <w:right w:w="100" w:type="dxa"/>
      </w:tblCellMar>
    </w:tblPr>
  </w:style>
  <w:style w:type="table" w:customStyle="1" w:styleId="5">
    <w:name w:val="5"/>
    <w:basedOn w:val="TableNormal10"/>
    <w:tblPr>
      <w:tblStyleRowBandSize w:val="1"/>
      <w:tblStyleColBandSize w:val="1"/>
      <w:tblCellMar>
        <w:top w:w="100" w:type="dxa"/>
        <w:left w:w="100" w:type="dxa"/>
        <w:bottom w:w="100" w:type="dxa"/>
        <w:right w:w="100" w:type="dxa"/>
      </w:tblCellMar>
    </w:tblPr>
  </w:style>
  <w:style w:type="paragraph" w:styleId="Textodecomentrio">
    <w:name w:val="annotation text"/>
    <w:basedOn w:val="Normal"/>
    <w:link w:val="TextodecomentrioChar"/>
    <w:uiPriority w:val="99"/>
    <w:unhideWhenUsed/>
    <w:pPr>
      <w:spacing w:line="240" w:lineRule="auto"/>
    </w:pPr>
    <w:rPr>
      <w:sz w:val="20"/>
      <w:szCs w:val="20"/>
    </w:rPr>
  </w:style>
  <w:style w:type="character" w:customStyle="1" w:styleId="TextodecomentrioChar">
    <w:name w:val="Texto de comentário Char"/>
    <w:basedOn w:val="Fontepargpadro"/>
    <w:link w:val="Textodecomentrio"/>
    <w:uiPriority w:val="99"/>
    <w:rPr>
      <w:sz w:val="20"/>
      <w:szCs w:val="20"/>
    </w:rPr>
  </w:style>
  <w:style w:type="character" w:styleId="Refdecomentrio">
    <w:name w:val="annotation reference"/>
    <w:basedOn w:val="Fontepargpadro"/>
    <w:uiPriority w:val="99"/>
    <w:semiHidden/>
    <w:unhideWhenUsed/>
    <w:rPr>
      <w:sz w:val="16"/>
      <w:szCs w:val="16"/>
    </w:rPr>
  </w:style>
  <w:style w:type="paragraph" w:styleId="NormalWeb">
    <w:name w:val="Normal (Web)"/>
    <w:basedOn w:val="Normal"/>
    <w:uiPriority w:val="99"/>
    <w:unhideWhenUsed/>
    <w:rsid w:val="00356B80"/>
    <w:pPr>
      <w:spacing w:before="100" w:beforeAutospacing="1" w:after="100" w:afterAutospacing="1" w:line="240" w:lineRule="auto"/>
    </w:pPr>
    <w:rPr>
      <w:rFonts w:ascii="Times New Roman" w:eastAsia="Times New Roman" w:hAnsi="Times New Roman" w:cs="Times New Roman"/>
      <w:sz w:val="24"/>
      <w:szCs w:val="24"/>
      <w:lang w:val="pt-BR"/>
    </w:rPr>
  </w:style>
  <w:style w:type="character" w:customStyle="1" w:styleId="apple-tab-span">
    <w:name w:val="apple-tab-span"/>
    <w:basedOn w:val="Fontepargpadro"/>
    <w:rsid w:val="00CE6F61"/>
  </w:style>
  <w:style w:type="paragraph" w:styleId="Reviso">
    <w:name w:val="Revision"/>
    <w:hidden/>
    <w:uiPriority w:val="99"/>
    <w:semiHidden/>
    <w:rsid w:val="00940ED8"/>
    <w:pPr>
      <w:spacing w:after="0" w:line="240" w:lineRule="auto"/>
    </w:pPr>
  </w:style>
  <w:style w:type="character" w:styleId="Hyperlink">
    <w:name w:val="Hyperlink"/>
    <w:basedOn w:val="Fontepargpadro"/>
    <w:uiPriority w:val="99"/>
    <w:unhideWhenUsed/>
    <w:rsid w:val="00B70619"/>
    <w:rPr>
      <w:color w:val="0000FF"/>
      <w:u w:val="single"/>
    </w:rPr>
  </w:style>
  <w:style w:type="character" w:styleId="Forte">
    <w:name w:val="Strong"/>
    <w:basedOn w:val="Fontepargpadro"/>
    <w:uiPriority w:val="22"/>
    <w:qFormat/>
    <w:rsid w:val="00345874"/>
    <w:rPr>
      <w:b/>
      <w:bCs/>
    </w:rPr>
  </w:style>
  <w:style w:type="table" w:customStyle="1" w:styleId="4">
    <w:name w:val="4"/>
    <w:basedOn w:val="TableNormal4"/>
    <w:tblPr>
      <w:tblStyleRowBandSize w:val="1"/>
      <w:tblStyleColBandSize w:val="1"/>
      <w:tblCellMar>
        <w:top w:w="100" w:type="dxa"/>
        <w:left w:w="100" w:type="dxa"/>
        <w:bottom w:w="100" w:type="dxa"/>
        <w:right w:w="100" w:type="dxa"/>
      </w:tblCellMar>
    </w:tblPr>
  </w:style>
  <w:style w:type="table" w:customStyle="1" w:styleId="3">
    <w:name w:val="3"/>
    <w:basedOn w:val="TableNormal4"/>
    <w:tblPr>
      <w:tblStyleRowBandSize w:val="1"/>
      <w:tblStyleColBandSize w:val="1"/>
      <w:tblCellMar>
        <w:top w:w="100" w:type="dxa"/>
        <w:left w:w="100" w:type="dxa"/>
        <w:bottom w:w="100" w:type="dxa"/>
        <w:right w:w="100" w:type="dxa"/>
      </w:tblCellMar>
    </w:tblPr>
  </w:style>
  <w:style w:type="paragraph" w:styleId="Assuntodocomentrio">
    <w:name w:val="annotation subject"/>
    <w:basedOn w:val="Textodecomentrio"/>
    <w:next w:val="Textodecomentrio"/>
    <w:link w:val="AssuntodocomentrioChar"/>
    <w:uiPriority w:val="99"/>
    <w:semiHidden/>
    <w:unhideWhenUsed/>
    <w:rsid w:val="004E1688"/>
    <w:rPr>
      <w:b/>
      <w:bCs/>
    </w:rPr>
  </w:style>
  <w:style w:type="character" w:customStyle="1" w:styleId="AssuntodocomentrioChar">
    <w:name w:val="Assunto do comentário Char"/>
    <w:basedOn w:val="TextodecomentrioChar"/>
    <w:link w:val="Assuntodocomentrio"/>
    <w:uiPriority w:val="99"/>
    <w:semiHidden/>
    <w:rsid w:val="004E1688"/>
    <w:rPr>
      <w:b/>
      <w:bCs/>
      <w:sz w:val="20"/>
      <w:szCs w:val="20"/>
    </w:rPr>
  </w:style>
  <w:style w:type="table" w:customStyle="1" w:styleId="2">
    <w:name w:val="2"/>
    <w:basedOn w:val="TableNormal5"/>
    <w:tblPr>
      <w:tblStyleRowBandSize w:val="1"/>
      <w:tblStyleColBandSize w:val="1"/>
      <w:tblCellMar>
        <w:top w:w="100" w:type="dxa"/>
        <w:left w:w="100" w:type="dxa"/>
        <w:bottom w:w="100" w:type="dxa"/>
        <w:right w:w="100" w:type="dxa"/>
      </w:tblCellMar>
    </w:tblPr>
  </w:style>
  <w:style w:type="table" w:customStyle="1" w:styleId="1">
    <w:name w:val="1"/>
    <w:basedOn w:val="TableNormal5"/>
    <w:tblPr>
      <w:tblStyleRowBandSize w:val="1"/>
      <w:tblStyleColBandSize w:val="1"/>
      <w:tblCellMar>
        <w:top w:w="100" w:type="dxa"/>
        <w:left w:w="100" w:type="dxa"/>
        <w:bottom w:w="100" w:type="dxa"/>
        <w:right w:w="100" w:type="dxa"/>
      </w:tblCellMar>
    </w:tblPr>
  </w:style>
  <w:style w:type="character" w:styleId="nfase">
    <w:name w:val="Emphasis"/>
    <w:basedOn w:val="Fontepargpadro"/>
    <w:uiPriority w:val="20"/>
    <w:qFormat/>
    <w:rsid w:val="00F40C2B"/>
    <w:rPr>
      <w:i/>
      <w:iCs/>
    </w:rPr>
  </w:style>
  <w:style w:type="paragraph" w:styleId="PargrafodaLista">
    <w:name w:val="List Paragraph"/>
    <w:basedOn w:val="Normal"/>
    <w:uiPriority w:val="34"/>
    <w:qFormat/>
    <w:rsid w:val="0093568B"/>
    <w:pPr>
      <w:ind w:left="720"/>
      <w:contextualSpacing/>
    </w:pPr>
  </w:style>
  <w:style w:type="character" w:customStyle="1" w:styleId="cf01">
    <w:name w:val="cf01"/>
    <w:basedOn w:val="Fontepargpadro"/>
    <w:rsid w:val="0093568B"/>
    <w:rPr>
      <w:rFonts w:ascii="Segoe UI" w:hAnsi="Segoe UI" w:cs="Segoe UI" w:hint="default"/>
      <w:sz w:val="18"/>
      <w:szCs w:val="18"/>
    </w:rPr>
  </w:style>
  <w:style w:type="paragraph" w:styleId="Partesuperior-zdoformulrio">
    <w:name w:val="HTML Top of Form"/>
    <w:basedOn w:val="Normal"/>
    <w:next w:val="Normal"/>
    <w:link w:val="Partesuperior-zdoformulrioChar"/>
    <w:hidden/>
    <w:uiPriority w:val="99"/>
    <w:semiHidden/>
    <w:unhideWhenUsed/>
    <w:rsid w:val="000F0B88"/>
    <w:pPr>
      <w:pBdr>
        <w:bottom w:val="single" w:sz="6" w:space="1" w:color="auto"/>
      </w:pBdr>
      <w:spacing w:after="0" w:line="240" w:lineRule="auto"/>
      <w:jc w:val="center"/>
    </w:pPr>
    <w:rPr>
      <w:rFonts w:ascii="Arial" w:eastAsia="Times New Roman" w:hAnsi="Arial" w:cs="Arial"/>
      <w:vanish/>
      <w:sz w:val="16"/>
      <w:szCs w:val="16"/>
      <w:lang w:val="pt-BR"/>
    </w:rPr>
  </w:style>
  <w:style w:type="character" w:customStyle="1" w:styleId="Partesuperior-zdoformulrioChar">
    <w:name w:val="Parte superior-z do formulário Char"/>
    <w:basedOn w:val="Fontepargpadro"/>
    <w:link w:val="Partesuperior-zdoformulrio"/>
    <w:uiPriority w:val="99"/>
    <w:semiHidden/>
    <w:rsid w:val="000F0B88"/>
    <w:rPr>
      <w:rFonts w:ascii="Arial" w:eastAsia="Times New Roman" w:hAnsi="Arial" w:cs="Arial"/>
      <w:vanish/>
      <w:sz w:val="16"/>
      <w:szCs w:val="16"/>
      <w:lang w:val="pt-BR"/>
    </w:rPr>
  </w:style>
  <w:style w:type="paragraph" w:styleId="Parteinferiordoformulrio">
    <w:name w:val="HTML Bottom of Form"/>
    <w:basedOn w:val="Normal"/>
    <w:next w:val="Normal"/>
    <w:link w:val="ParteinferiordoformulrioChar"/>
    <w:hidden/>
    <w:uiPriority w:val="99"/>
    <w:semiHidden/>
    <w:unhideWhenUsed/>
    <w:rsid w:val="000F0B88"/>
    <w:pPr>
      <w:pBdr>
        <w:top w:val="single" w:sz="6" w:space="1" w:color="auto"/>
      </w:pBdr>
      <w:spacing w:after="0" w:line="240" w:lineRule="auto"/>
      <w:jc w:val="center"/>
    </w:pPr>
    <w:rPr>
      <w:rFonts w:ascii="Arial" w:eastAsia="Times New Roman" w:hAnsi="Arial" w:cs="Arial"/>
      <w:vanish/>
      <w:sz w:val="16"/>
      <w:szCs w:val="16"/>
      <w:lang w:val="pt-BR"/>
    </w:rPr>
  </w:style>
  <w:style w:type="character" w:customStyle="1" w:styleId="ParteinferiordoformulrioChar">
    <w:name w:val="Parte inferior do formulário Char"/>
    <w:basedOn w:val="Fontepargpadro"/>
    <w:link w:val="Parteinferiordoformulrio"/>
    <w:uiPriority w:val="99"/>
    <w:semiHidden/>
    <w:rsid w:val="000F0B88"/>
    <w:rPr>
      <w:rFonts w:ascii="Arial" w:eastAsia="Times New Roman" w:hAnsi="Arial" w:cs="Arial"/>
      <w:vanish/>
      <w:sz w:val="16"/>
      <w:szCs w:val="16"/>
      <w:lang w:val="pt-BR"/>
    </w:rPr>
  </w:style>
  <w:style w:type="character" w:customStyle="1" w:styleId="overflow-hidden">
    <w:name w:val="overflow-hidden"/>
    <w:basedOn w:val="Fontepargpadro"/>
    <w:rsid w:val="001858ED"/>
  </w:style>
  <w:style w:type="table" w:customStyle="1" w:styleId="a">
    <w:basedOn w:val="TableNormal0"/>
    <w:tblPr>
      <w:tblStyleRowBandSize w:val="1"/>
      <w:tblStyleColBandSize w:val="1"/>
      <w:tblCellMar>
        <w:top w:w="15" w:type="dxa"/>
        <w:left w:w="15" w:type="dxa"/>
        <w:bottom w:w="15" w:type="dxa"/>
        <w:right w:w="15" w:type="dxa"/>
      </w:tblCellMar>
    </w:tblPr>
  </w:style>
  <w:style w:type="table" w:customStyle="1" w:styleId="a0">
    <w:basedOn w:val="TableNormal0"/>
    <w:tblPr>
      <w:tblStyleRowBandSize w:val="1"/>
      <w:tblStyleColBandSize w:val="1"/>
      <w:tblCellMar>
        <w:top w:w="15" w:type="dxa"/>
        <w:left w:w="15" w:type="dxa"/>
        <w:bottom w:w="15" w:type="dxa"/>
        <w:right w:w="15"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character" w:styleId="MenoPendente">
    <w:name w:val="Unresolved Mention"/>
    <w:basedOn w:val="Fontepargpadro"/>
    <w:uiPriority w:val="99"/>
    <w:semiHidden/>
    <w:unhideWhenUsed/>
    <w:rsid w:val="00390D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9706377">
      <w:bodyDiv w:val="1"/>
      <w:marLeft w:val="0"/>
      <w:marRight w:val="0"/>
      <w:marTop w:val="0"/>
      <w:marBottom w:val="0"/>
      <w:divBdr>
        <w:top w:val="none" w:sz="0" w:space="0" w:color="auto"/>
        <w:left w:val="none" w:sz="0" w:space="0" w:color="auto"/>
        <w:bottom w:val="none" w:sz="0" w:space="0" w:color="auto"/>
        <w:right w:val="none" w:sz="0" w:space="0" w:color="auto"/>
      </w:divBdr>
    </w:div>
    <w:div w:id="539366018">
      <w:bodyDiv w:val="1"/>
      <w:marLeft w:val="0"/>
      <w:marRight w:val="0"/>
      <w:marTop w:val="0"/>
      <w:marBottom w:val="0"/>
      <w:divBdr>
        <w:top w:val="none" w:sz="0" w:space="0" w:color="auto"/>
        <w:left w:val="none" w:sz="0" w:space="0" w:color="auto"/>
        <w:bottom w:val="none" w:sz="0" w:space="0" w:color="auto"/>
        <w:right w:val="none" w:sz="0" w:space="0" w:color="auto"/>
      </w:divBdr>
    </w:div>
    <w:div w:id="577640076">
      <w:bodyDiv w:val="1"/>
      <w:marLeft w:val="0"/>
      <w:marRight w:val="0"/>
      <w:marTop w:val="0"/>
      <w:marBottom w:val="0"/>
      <w:divBdr>
        <w:top w:val="none" w:sz="0" w:space="0" w:color="auto"/>
        <w:left w:val="none" w:sz="0" w:space="0" w:color="auto"/>
        <w:bottom w:val="none" w:sz="0" w:space="0" w:color="auto"/>
        <w:right w:val="none" w:sz="0" w:space="0" w:color="auto"/>
      </w:divBdr>
    </w:div>
    <w:div w:id="1095633616">
      <w:bodyDiv w:val="1"/>
      <w:marLeft w:val="0"/>
      <w:marRight w:val="0"/>
      <w:marTop w:val="0"/>
      <w:marBottom w:val="0"/>
      <w:divBdr>
        <w:top w:val="none" w:sz="0" w:space="0" w:color="auto"/>
        <w:left w:val="none" w:sz="0" w:space="0" w:color="auto"/>
        <w:bottom w:val="none" w:sz="0" w:space="0" w:color="auto"/>
        <w:right w:val="none" w:sz="0" w:space="0" w:color="auto"/>
      </w:divBdr>
    </w:div>
    <w:div w:id="11616535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sdomiciano@hot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biblioteca.ibge.gov.br/visualizacao/livros/liv63405.pdf"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hXZFadHVd5LrNGkvdNZKx1HbKw==">CgMxLjAaJQoBMBIgCh4IB0IaCg9UaW1lcyBOZXcgUm9tYW4SB0d1bmdzdWgaJQoBMRIgCh4IB0IaCg9UaW1lcyBOZXcgUm9tYW4SB0d1bmdzdWgyCGguZ2pkZ3hzMgloLjMwajB6bGwyCWguMWZvYjl0ZTgAciExUnUwZVJPT2NKRUw3d1VnTjRoS2gzQWFuYlowOUxFQVQ=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34</Pages>
  <Words>6977</Words>
  <Characters>37679</Characters>
  <Application>Microsoft Office Word</Application>
  <DocSecurity>0</DocSecurity>
  <Lines>313</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Secretaria Saude</dc:creator>
  <cp:lastModifiedBy>Diogo Souza Domiciano</cp:lastModifiedBy>
  <cp:revision>48</cp:revision>
  <dcterms:created xsi:type="dcterms:W3CDTF">2024-12-07T20:51:00Z</dcterms:created>
  <dcterms:modified xsi:type="dcterms:W3CDTF">2025-01-03T11:28:00Z</dcterms:modified>
</cp:coreProperties>
</file>